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1814A88" w14:textId="77777777" w:rsidR="001F6394" w:rsidRPr="008A1F4E" w:rsidRDefault="00000000" w:rsidP="00FC2080">
      <w:pPr>
        <w:pStyle w:val="Title"/>
        <w:rPr>
          <w:sz w:val="72"/>
          <w:szCs w:val="72"/>
        </w:rPr>
      </w:pPr>
      <w:r w:rsidRPr="008A1F4E">
        <w:rPr>
          <w:sz w:val="72"/>
          <w:szCs w:val="72"/>
        </w:rPr>
        <w:t>Rethinking the Poverty–Environment Nexus through Natural Capital Accounting: Evidence from Ghana</w:t>
      </w:r>
    </w:p>
    <w:p w14:paraId="33D8E01D" w14:textId="77777777" w:rsidR="008A1F4E" w:rsidRPr="001000CE" w:rsidRDefault="008A1F4E" w:rsidP="004E374F">
      <w:pPr>
        <w:spacing w:after="20"/>
        <w:rPr>
          <w:b/>
          <w:bCs/>
          <w:sz w:val="22"/>
          <w:szCs w:val="22"/>
        </w:rPr>
      </w:pPr>
    </w:p>
    <w:p w14:paraId="08152531" w14:textId="5A0C9C04" w:rsidR="001F6394" w:rsidRPr="001000CE" w:rsidRDefault="00000000" w:rsidP="00FC2080">
      <w:pPr>
        <w:spacing w:after="20"/>
        <w:rPr>
          <w:sz w:val="32"/>
          <w:szCs w:val="32"/>
        </w:rPr>
      </w:pPr>
      <w:r w:rsidRPr="001000CE">
        <w:rPr>
          <w:sz w:val="32"/>
          <w:szCs w:val="32"/>
        </w:rPr>
        <w:t>Michael Vardon¹</w:t>
      </w:r>
      <w:r w:rsidR="00FC2080">
        <w:rPr>
          <w:sz w:val="32"/>
          <w:szCs w:val="32"/>
        </w:rPr>
        <w:t>*</w:t>
      </w:r>
      <w:r w:rsidRPr="001000CE">
        <w:rPr>
          <w:sz w:val="32"/>
          <w:szCs w:val="32"/>
        </w:rPr>
        <w:t xml:space="preserve">, Kwame Fredua², Bernice Ofosu-Baadu³, Prince Boama⁴, </w:t>
      </w:r>
      <w:proofErr w:type="spellStart"/>
      <w:r w:rsidRPr="001000CE">
        <w:rPr>
          <w:sz w:val="32"/>
          <w:szCs w:val="32"/>
        </w:rPr>
        <w:t>Selaseh</w:t>
      </w:r>
      <w:proofErr w:type="spellEnd"/>
      <w:r w:rsidRPr="001000CE">
        <w:rPr>
          <w:sz w:val="32"/>
          <w:szCs w:val="32"/>
        </w:rPr>
        <w:t xml:space="preserve"> Akaho⁵, Emmanuel Yamoah Tenkorang⁶ and Anna Normyle¹</w:t>
      </w:r>
    </w:p>
    <w:p w14:paraId="6583BB1B" w14:textId="77777777" w:rsidR="001000CE" w:rsidRDefault="001000CE" w:rsidP="004E374F">
      <w:pPr>
        <w:spacing w:after="20"/>
      </w:pPr>
    </w:p>
    <w:p w14:paraId="712A8347" w14:textId="7DF82E93" w:rsidR="001000CE" w:rsidRPr="004E374F" w:rsidRDefault="00FC2080" w:rsidP="004E374F">
      <w:pPr>
        <w:pStyle w:val="Subtitle"/>
        <w:rPr>
          <w:rFonts w:eastAsia="Calibri"/>
          <w:sz w:val="28"/>
          <w:szCs w:val="28"/>
        </w:rPr>
      </w:pPr>
      <w:r w:rsidRPr="00FC2080">
        <w:rPr>
          <w:rFonts w:eastAsia="Calibri"/>
          <w:sz w:val="28"/>
          <w:szCs w:val="28"/>
        </w:rPr>
        <w:t>Prepared for the 32nd Meeting of the London Group on Environmental-Economic Accounting,</w:t>
      </w:r>
      <w:r w:rsidRPr="00FC2080">
        <w:rPr>
          <w:sz w:val="28"/>
          <w:szCs w:val="28"/>
        </w:rPr>
        <w:t xml:space="preserve"> </w:t>
      </w:r>
      <w:r w:rsidRPr="00FC2080">
        <w:rPr>
          <w:rFonts w:eastAsia="Calibri"/>
          <w:sz w:val="28"/>
          <w:szCs w:val="28"/>
        </w:rPr>
        <w:t>Guatemala City, 7–9 September 2026.</w:t>
      </w:r>
    </w:p>
    <w:p w14:paraId="2E407DED" w14:textId="77777777" w:rsidR="001F6394" w:rsidRDefault="00000000" w:rsidP="00FC2080">
      <w:pPr>
        <w:spacing w:after="40"/>
        <w:rPr>
          <w:color w:val="555555"/>
          <w:sz w:val="24"/>
          <w:szCs w:val="24"/>
        </w:rPr>
      </w:pPr>
      <w:r w:rsidRPr="00FC2080">
        <w:rPr>
          <w:color w:val="555555"/>
          <w:sz w:val="24"/>
          <w:szCs w:val="24"/>
        </w:rPr>
        <w:t>¹ Fenner School of Environment and Society, Australian National University, Canberra, Australia</w:t>
      </w:r>
      <w:r w:rsidRPr="00FC2080">
        <w:rPr>
          <w:color w:val="555555"/>
          <w:sz w:val="24"/>
          <w:szCs w:val="24"/>
        </w:rPr>
        <w:br/>
        <w:t>² Environmental Assessment and Audit, Environmental Protection Authority, Ghana</w:t>
      </w:r>
      <w:r w:rsidRPr="00FC2080">
        <w:rPr>
          <w:color w:val="555555"/>
          <w:sz w:val="24"/>
          <w:szCs w:val="24"/>
        </w:rPr>
        <w:br/>
        <w:t>³ Agriculture and Environment Statistics Unit, Ghana Statistical Service</w:t>
      </w:r>
      <w:r w:rsidRPr="00FC2080">
        <w:rPr>
          <w:color w:val="555555"/>
          <w:sz w:val="24"/>
          <w:szCs w:val="24"/>
        </w:rPr>
        <w:br/>
        <w:t>⁴ Resource Management Support Centre, Forestry Commission Ghana</w:t>
      </w:r>
      <w:r w:rsidRPr="00FC2080">
        <w:rPr>
          <w:color w:val="555555"/>
          <w:sz w:val="24"/>
          <w:szCs w:val="24"/>
        </w:rPr>
        <w:br/>
        <w:t>⁵ SDG Secretariat, Ghana Statistical Service</w:t>
      </w:r>
      <w:r w:rsidRPr="00FC2080">
        <w:rPr>
          <w:color w:val="555555"/>
          <w:sz w:val="24"/>
          <w:szCs w:val="24"/>
        </w:rPr>
        <w:br/>
        <w:t>⁶ Department of Environment, Governance and Sustainable Development, University of Cape Coast, Ghana</w:t>
      </w:r>
    </w:p>
    <w:p w14:paraId="1BB11058" w14:textId="0BDD3677" w:rsidR="00FC2080" w:rsidRPr="004E374F" w:rsidRDefault="00FC2080" w:rsidP="004E374F">
      <w:pPr>
        <w:spacing w:after="40"/>
        <w:rPr>
          <w:sz w:val="36"/>
          <w:szCs w:val="36"/>
        </w:rPr>
      </w:pPr>
      <w:r w:rsidRPr="00047102">
        <w:rPr>
          <w:color w:val="555555"/>
          <w:sz w:val="24"/>
          <w:szCs w:val="24"/>
        </w:rPr>
        <w:t xml:space="preserve">*Author for correspondence. </w:t>
      </w:r>
      <w:hyperlink r:id="rId7" w:history="1">
        <w:r w:rsidRPr="00333C36">
          <w:rPr>
            <w:rStyle w:val="Hyperlink"/>
            <w:sz w:val="24"/>
            <w:szCs w:val="24"/>
          </w:rPr>
          <w:t>michael.vardon@anu.edu.au</w:t>
        </w:r>
      </w:hyperlink>
    </w:p>
    <w:p w14:paraId="72CCC9C5" w14:textId="77777777" w:rsidR="00FC2080" w:rsidRDefault="00FC2080" w:rsidP="00FC2080">
      <w:pPr>
        <w:spacing w:after="60"/>
      </w:pPr>
      <w:r>
        <w:rPr>
          <w:rFonts w:ascii="Cambria" w:eastAsia="Cambria" w:hAnsi="Cambria" w:cs="Cambria"/>
          <w:b/>
          <w:bCs/>
          <w:color w:val="9C6114"/>
          <w:sz w:val="22"/>
          <w:szCs w:val="22"/>
        </w:rPr>
        <w:t>Abstract</w:t>
      </w:r>
    </w:p>
    <w:p w14:paraId="2E62B471" w14:textId="5CDD2529" w:rsidR="00FC2080" w:rsidRPr="00FC2080" w:rsidRDefault="00FC2080" w:rsidP="008A1F4E">
      <w:pPr>
        <w:spacing w:after="60"/>
        <w:rPr>
          <w:color w:val="555555"/>
          <w:sz w:val="22"/>
          <w:szCs w:val="22"/>
        </w:rPr>
      </w:pPr>
      <w:r w:rsidRPr="00FC2080">
        <w:rPr>
          <w:color w:val="555555"/>
          <w:sz w:val="22"/>
          <w:szCs w:val="22"/>
        </w:rPr>
        <w:t xml:space="preserve">The poverty-environment nexus and the vicious cycle posited by the environment-poverty trap have shaped development and conservation policy for decades. The trap predicts that poverty forces reliance on the environment, driving environmental degradation. Evidence for this </w:t>
      </w:r>
      <w:r w:rsidR="004E374F">
        <w:rPr>
          <w:color w:val="555555"/>
          <w:sz w:val="22"/>
          <w:szCs w:val="22"/>
        </w:rPr>
        <w:t xml:space="preserve">is </w:t>
      </w:r>
      <w:r w:rsidRPr="00FC2080">
        <w:rPr>
          <w:color w:val="555555"/>
          <w:sz w:val="22"/>
          <w:szCs w:val="22"/>
        </w:rPr>
        <w:t>sparse</w:t>
      </w:r>
      <w:r w:rsidR="004E374F">
        <w:rPr>
          <w:color w:val="555555"/>
          <w:sz w:val="22"/>
          <w:szCs w:val="22"/>
        </w:rPr>
        <w:t xml:space="preserve">. </w:t>
      </w:r>
      <w:r w:rsidRPr="00FC2080">
        <w:rPr>
          <w:color w:val="555555"/>
          <w:sz w:val="22"/>
          <w:szCs w:val="22"/>
        </w:rPr>
        <w:t>We examine</w:t>
      </w:r>
      <w:r w:rsidR="004E374F">
        <w:rPr>
          <w:color w:val="555555"/>
          <w:sz w:val="22"/>
          <w:szCs w:val="22"/>
        </w:rPr>
        <w:t>d</w:t>
      </w:r>
      <w:r w:rsidRPr="00FC2080">
        <w:rPr>
          <w:color w:val="555555"/>
          <w:sz w:val="22"/>
          <w:szCs w:val="22"/>
        </w:rPr>
        <w:t xml:space="preserve"> the nexus and trap in Ghana using the System of Environmental-Economic Accounting</w:t>
      </w:r>
      <w:r w:rsidR="004E374F">
        <w:rPr>
          <w:color w:val="555555"/>
          <w:sz w:val="22"/>
          <w:szCs w:val="22"/>
        </w:rPr>
        <w:t>,</w:t>
      </w:r>
      <w:r w:rsidRPr="00FC2080">
        <w:rPr>
          <w:color w:val="555555"/>
          <w:sz w:val="22"/>
          <w:szCs w:val="22"/>
        </w:rPr>
        <w:t xml:space="preserve"> district-level land cover change</w:t>
      </w:r>
      <w:r w:rsidR="004E374F">
        <w:rPr>
          <w:color w:val="555555"/>
          <w:sz w:val="22"/>
          <w:szCs w:val="22"/>
        </w:rPr>
        <w:t xml:space="preserve"> matrices</w:t>
      </w:r>
      <w:r w:rsidRPr="00FC2080">
        <w:rPr>
          <w:color w:val="555555"/>
          <w:sz w:val="22"/>
          <w:szCs w:val="22"/>
        </w:rPr>
        <w:t xml:space="preserve"> (2015-2021), and the 2021 Population and Housing Census’ poverty data, including the Multidimensional Poverty Index </w:t>
      </w:r>
      <w:r w:rsidR="004E374F">
        <w:rPr>
          <w:color w:val="555555"/>
          <w:sz w:val="22"/>
          <w:szCs w:val="22"/>
        </w:rPr>
        <w:t>and</w:t>
      </w:r>
      <w:r w:rsidRPr="00FC2080">
        <w:rPr>
          <w:color w:val="555555"/>
          <w:sz w:val="22"/>
          <w:szCs w:val="22"/>
        </w:rPr>
        <w:t xml:space="preserve"> sources of cooking fuel and drinking water, for 260 districts. </w:t>
      </w:r>
      <w:r w:rsidR="004E374F">
        <w:rPr>
          <w:color w:val="555555"/>
          <w:sz w:val="22"/>
          <w:szCs w:val="22"/>
        </w:rPr>
        <w:t>S</w:t>
      </w:r>
      <w:r w:rsidRPr="00FC2080">
        <w:rPr>
          <w:color w:val="555555"/>
          <w:sz w:val="22"/>
          <w:szCs w:val="22"/>
        </w:rPr>
        <w:t xml:space="preserve">tatistical tests show that poverty is significantly </w:t>
      </w:r>
      <w:r w:rsidRPr="004E374F">
        <w:rPr>
          <w:i/>
          <w:iCs/>
          <w:color w:val="555555"/>
          <w:sz w:val="22"/>
          <w:szCs w:val="22"/>
        </w:rPr>
        <w:t>negatively</w:t>
      </w:r>
      <w:r w:rsidRPr="00FC2080">
        <w:rPr>
          <w:color w:val="555555"/>
          <w:sz w:val="22"/>
          <w:szCs w:val="22"/>
        </w:rPr>
        <w:t xml:space="preserve"> associated with land degradation and </w:t>
      </w:r>
      <w:r w:rsidRPr="004E374F">
        <w:rPr>
          <w:i/>
          <w:iCs/>
          <w:color w:val="555555"/>
          <w:sz w:val="22"/>
          <w:szCs w:val="22"/>
        </w:rPr>
        <w:t>positively</w:t>
      </w:r>
      <w:r w:rsidRPr="00FC2080">
        <w:rPr>
          <w:color w:val="555555"/>
          <w:sz w:val="22"/>
          <w:szCs w:val="22"/>
        </w:rPr>
        <w:t xml:space="preserve"> associated with afforestation and reliance on ecosystem services for cooking fuel and drinking water. These patterns run counter to the poverty-environment trap and suggest that ES reliance promotes the maintenance and stewardship of natural capital rather than its degradation.</w:t>
      </w:r>
    </w:p>
    <w:p w14:paraId="6B877068" w14:textId="0004A252" w:rsidR="00FC2080" w:rsidRDefault="00FC2080" w:rsidP="00FC2080">
      <w:pPr>
        <w:spacing w:after="120" w:line="264" w:lineRule="auto"/>
        <w:jc w:val="both"/>
      </w:pPr>
      <w:r w:rsidRPr="009257F4">
        <w:rPr>
          <w:b/>
          <w:bCs/>
          <w:i/>
          <w:iCs/>
        </w:rPr>
        <w:t>Note:</w:t>
      </w:r>
      <w:r>
        <w:t xml:space="preserve"> </w:t>
      </w:r>
      <w:r w:rsidRPr="00FE0BF8">
        <w:rPr>
          <w:i/>
          <w:iCs/>
        </w:rPr>
        <w:t xml:space="preserve">The paper is a summary </w:t>
      </w:r>
      <w:r>
        <w:rPr>
          <w:i/>
          <w:iCs/>
        </w:rPr>
        <w:t>of a journal article</w:t>
      </w:r>
      <w:r w:rsidRPr="00AA45D2">
        <w:rPr>
          <w:i/>
          <w:iCs/>
        </w:rPr>
        <w:t xml:space="preserve"> </w:t>
      </w:r>
      <w:r>
        <w:rPr>
          <w:i/>
          <w:iCs/>
        </w:rPr>
        <w:t xml:space="preserve">currently </w:t>
      </w:r>
      <w:r w:rsidRPr="00AA45D2">
        <w:rPr>
          <w:i/>
          <w:iCs/>
        </w:rPr>
        <w:t>in review</w:t>
      </w:r>
      <w:r w:rsidRPr="00AA45D2">
        <w:t>.</w:t>
      </w:r>
    </w:p>
    <w:p w14:paraId="35DC7902" w14:textId="1F78D044" w:rsidR="00FC2080" w:rsidRPr="00FC2080" w:rsidRDefault="00FC2080" w:rsidP="00FC2080">
      <w:pPr>
        <w:rPr>
          <w:rFonts w:ascii="Cambria" w:eastAsia="Cambria" w:hAnsi="Cambria" w:cs="Cambria"/>
          <w:color w:val="9C6114"/>
          <w:sz w:val="26"/>
          <w:szCs w:val="26"/>
        </w:rPr>
      </w:pPr>
      <w:r>
        <w:rPr>
          <w:rFonts w:ascii="Cambria" w:eastAsia="Cambria" w:hAnsi="Cambria" w:cs="Cambria"/>
          <w:color w:val="9C6114"/>
          <w:sz w:val="26"/>
          <w:szCs w:val="26"/>
        </w:rPr>
        <w:t>Contents</w:t>
      </w:r>
    </w:p>
    <w:p w14:paraId="7784CEEA" w14:textId="04013752" w:rsidR="00FC2080" w:rsidRDefault="00FC2080">
      <w:pPr>
        <w:pStyle w:val="TOC1"/>
        <w:tabs>
          <w:tab w:val="right" w:leader="dot" w:pos="9628"/>
        </w:tabs>
        <w:rPr>
          <w:noProof/>
        </w:rPr>
      </w:pPr>
      <w:r>
        <w:fldChar w:fldCharType="begin"/>
      </w:r>
      <w:r>
        <w:instrText xml:space="preserve"> TOC \o "1-3" \h \z \u </w:instrText>
      </w:r>
      <w:r>
        <w:fldChar w:fldCharType="separate"/>
      </w:r>
      <w:hyperlink w:anchor="_Toc237356471" w:history="1">
        <w:r w:rsidRPr="002A2472">
          <w:rPr>
            <w:rStyle w:val="Hyperlink"/>
            <w:rFonts w:ascii="Cambria" w:eastAsia="Cambria" w:hAnsi="Cambria" w:cs="Cambria"/>
            <w:b/>
            <w:bCs/>
            <w:noProof/>
          </w:rPr>
          <w:t>1. Introduction</w:t>
        </w:r>
        <w:r>
          <w:rPr>
            <w:noProof/>
            <w:webHidden/>
          </w:rPr>
          <w:tab/>
        </w:r>
        <w:r>
          <w:rPr>
            <w:noProof/>
            <w:webHidden/>
          </w:rPr>
          <w:fldChar w:fldCharType="begin"/>
        </w:r>
        <w:r>
          <w:rPr>
            <w:noProof/>
            <w:webHidden/>
          </w:rPr>
          <w:instrText xml:space="preserve"> PAGEREF _Toc237356471 \h </w:instrText>
        </w:r>
        <w:r>
          <w:rPr>
            <w:noProof/>
            <w:webHidden/>
          </w:rPr>
        </w:r>
        <w:r>
          <w:rPr>
            <w:noProof/>
            <w:webHidden/>
          </w:rPr>
          <w:fldChar w:fldCharType="separate"/>
        </w:r>
        <w:r>
          <w:rPr>
            <w:noProof/>
            <w:webHidden/>
          </w:rPr>
          <w:t>2</w:t>
        </w:r>
        <w:r>
          <w:rPr>
            <w:noProof/>
            <w:webHidden/>
          </w:rPr>
          <w:fldChar w:fldCharType="end"/>
        </w:r>
      </w:hyperlink>
    </w:p>
    <w:p w14:paraId="3D02CEEF" w14:textId="3BBB40B6" w:rsidR="00FC2080" w:rsidRDefault="00FC2080">
      <w:pPr>
        <w:pStyle w:val="TOC1"/>
        <w:tabs>
          <w:tab w:val="right" w:leader="dot" w:pos="9628"/>
        </w:tabs>
        <w:rPr>
          <w:noProof/>
        </w:rPr>
      </w:pPr>
      <w:hyperlink w:anchor="_Toc237356472" w:history="1">
        <w:r w:rsidRPr="002A2472">
          <w:rPr>
            <w:rStyle w:val="Hyperlink"/>
            <w:rFonts w:ascii="Cambria" w:eastAsia="Cambria" w:hAnsi="Cambria" w:cs="Cambria"/>
            <w:b/>
            <w:bCs/>
            <w:noProof/>
          </w:rPr>
          <w:t>2. Data and methods</w:t>
        </w:r>
        <w:r>
          <w:rPr>
            <w:noProof/>
            <w:webHidden/>
          </w:rPr>
          <w:tab/>
        </w:r>
        <w:r>
          <w:rPr>
            <w:noProof/>
            <w:webHidden/>
          </w:rPr>
          <w:fldChar w:fldCharType="begin"/>
        </w:r>
        <w:r>
          <w:rPr>
            <w:noProof/>
            <w:webHidden/>
          </w:rPr>
          <w:instrText xml:space="preserve"> PAGEREF _Toc237356472 \h </w:instrText>
        </w:r>
        <w:r>
          <w:rPr>
            <w:noProof/>
            <w:webHidden/>
          </w:rPr>
        </w:r>
        <w:r>
          <w:rPr>
            <w:noProof/>
            <w:webHidden/>
          </w:rPr>
          <w:fldChar w:fldCharType="separate"/>
        </w:r>
        <w:r>
          <w:rPr>
            <w:noProof/>
            <w:webHidden/>
          </w:rPr>
          <w:t>2</w:t>
        </w:r>
        <w:r>
          <w:rPr>
            <w:noProof/>
            <w:webHidden/>
          </w:rPr>
          <w:fldChar w:fldCharType="end"/>
        </w:r>
      </w:hyperlink>
    </w:p>
    <w:p w14:paraId="2FC97E44" w14:textId="5316DAFE" w:rsidR="00FC2080" w:rsidRDefault="00FC2080">
      <w:pPr>
        <w:pStyle w:val="TOC1"/>
        <w:tabs>
          <w:tab w:val="right" w:leader="dot" w:pos="9628"/>
        </w:tabs>
        <w:rPr>
          <w:noProof/>
        </w:rPr>
      </w:pPr>
      <w:hyperlink w:anchor="_Toc237356473" w:history="1">
        <w:r w:rsidRPr="002A2472">
          <w:rPr>
            <w:rStyle w:val="Hyperlink"/>
            <w:rFonts w:ascii="Cambria" w:eastAsia="Cambria" w:hAnsi="Cambria" w:cs="Cambria"/>
            <w:b/>
            <w:bCs/>
            <w:noProof/>
          </w:rPr>
          <w:t>3. Results</w:t>
        </w:r>
        <w:r>
          <w:rPr>
            <w:noProof/>
            <w:webHidden/>
          </w:rPr>
          <w:tab/>
        </w:r>
        <w:r>
          <w:rPr>
            <w:noProof/>
            <w:webHidden/>
          </w:rPr>
          <w:fldChar w:fldCharType="begin"/>
        </w:r>
        <w:r>
          <w:rPr>
            <w:noProof/>
            <w:webHidden/>
          </w:rPr>
          <w:instrText xml:space="preserve"> PAGEREF _Toc237356473 \h </w:instrText>
        </w:r>
        <w:r>
          <w:rPr>
            <w:noProof/>
            <w:webHidden/>
          </w:rPr>
        </w:r>
        <w:r>
          <w:rPr>
            <w:noProof/>
            <w:webHidden/>
          </w:rPr>
          <w:fldChar w:fldCharType="separate"/>
        </w:r>
        <w:r>
          <w:rPr>
            <w:noProof/>
            <w:webHidden/>
          </w:rPr>
          <w:t>2</w:t>
        </w:r>
        <w:r>
          <w:rPr>
            <w:noProof/>
            <w:webHidden/>
          </w:rPr>
          <w:fldChar w:fldCharType="end"/>
        </w:r>
      </w:hyperlink>
    </w:p>
    <w:p w14:paraId="5FFDCF91" w14:textId="4DEFED8B" w:rsidR="00FC2080" w:rsidRDefault="00FC2080">
      <w:pPr>
        <w:pStyle w:val="TOC1"/>
        <w:tabs>
          <w:tab w:val="right" w:leader="dot" w:pos="9628"/>
        </w:tabs>
        <w:rPr>
          <w:noProof/>
        </w:rPr>
      </w:pPr>
      <w:hyperlink w:anchor="_Toc237356474" w:history="1">
        <w:r w:rsidRPr="002A2472">
          <w:rPr>
            <w:rStyle w:val="Hyperlink"/>
            <w:rFonts w:ascii="Cambria" w:eastAsia="Cambria" w:hAnsi="Cambria" w:cs="Cambria"/>
            <w:b/>
            <w:bCs/>
            <w:noProof/>
          </w:rPr>
          <w:t>4. Discussion</w:t>
        </w:r>
        <w:r>
          <w:rPr>
            <w:noProof/>
            <w:webHidden/>
          </w:rPr>
          <w:tab/>
        </w:r>
        <w:r>
          <w:rPr>
            <w:noProof/>
            <w:webHidden/>
          </w:rPr>
          <w:fldChar w:fldCharType="begin"/>
        </w:r>
        <w:r>
          <w:rPr>
            <w:noProof/>
            <w:webHidden/>
          </w:rPr>
          <w:instrText xml:space="preserve"> PAGEREF _Toc237356474 \h </w:instrText>
        </w:r>
        <w:r>
          <w:rPr>
            <w:noProof/>
            <w:webHidden/>
          </w:rPr>
        </w:r>
        <w:r>
          <w:rPr>
            <w:noProof/>
            <w:webHidden/>
          </w:rPr>
          <w:fldChar w:fldCharType="separate"/>
        </w:r>
        <w:r>
          <w:rPr>
            <w:noProof/>
            <w:webHidden/>
          </w:rPr>
          <w:t>4</w:t>
        </w:r>
        <w:r>
          <w:rPr>
            <w:noProof/>
            <w:webHidden/>
          </w:rPr>
          <w:fldChar w:fldCharType="end"/>
        </w:r>
      </w:hyperlink>
    </w:p>
    <w:p w14:paraId="2710D7DA" w14:textId="1B506DC1" w:rsidR="00FC2080" w:rsidRDefault="00FC2080">
      <w:pPr>
        <w:pStyle w:val="TOC1"/>
        <w:tabs>
          <w:tab w:val="right" w:leader="dot" w:pos="9628"/>
        </w:tabs>
        <w:rPr>
          <w:noProof/>
        </w:rPr>
      </w:pPr>
      <w:hyperlink w:anchor="_Toc237356475" w:history="1">
        <w:r w:rsidRPr="002A2472">
          <w:rPr>
            <w:rStyle w:val="Hyperlink"/>
            <w:rFonts w:ascii="Cambria" w:eastAsia="Cambria" w:hAnsi="Cambria" w:cs="Cambria"/>
            <w:b/>
            <w:bCs/>
            <w:noProof/>
          </w:rPr>
          <w:t>5. Conclusions</w:t>
        </w:r>
        <w:r>
          <w:rPr>
            <w:noProof/>
            <w:webHidden/>
          </w:rPr>
          <w:tab/>
        </w:r>
        <w:r>
          <w:rPr>
            <w:noProof/>
            <w:webHidden/>
          </w:rPr>
          <w:fldChar w:fldCharType="begin"/>
        </w:r>
        <w:r>
          <w:rPr>
            <w:noProof/>
            <w:webHidden/>
          </w:rPr>
          <w:instrText xml:space="preserve"> PAGEREF _Toc237356475 \h </w:instrText>
        </w:r>
        <w:r>
          <w:rPr>
            <w:noProof/>
            <w:webHidden/>
          </w:rPr>
        </w:r>
        <w:r>
          <w:rPr>
            <w:noProof/>
            <w:webHidden/>
          </w:rPr>
          <w:fldChar w:fldCharType="separate"/>
        </w:r>
        <w:r>
          <w:rPr>
            <w:noProof/>
            <w:webHidden/>
          </w:rPr>
          <w:t>5</w:t>
        </w:r>
        <w:r>
          <w:rPr>
            <w:noProof/>
            <w:webHidden/>
          </w:rPr>
          <w:fldChar w:fldCharType="end"/>
        </w:r>
      </w:hyperlink>
    </w:p>
    <w:p w14:paraId="4C35886E" w14:textId="4F40CA95" w:rsidR="00FC2080" w:rsidRDefault="00FC2080">
      <w:pPr>
        <w:pStyle w:val="TOC1"/>
        <w:tabs>
          <w:tab w:val="right" w:leader="dot" w:pos="9628"/>
        </w:tabs>
        <w:rPr>
          <w:noProof/>
        </w:rPr>
      </w:pPr>
      <w:hyperlink w:anchor="_Toc237356476" w:history="1">
        <w:r w:rsidRPr="002A2472">
          <w:rPr>
            <w:rStyle w:val="Hyperlink"/>
            <w:rFonts w:ascii="Cambria" w:eastAsia="Cambria" w:hAnsi="Cambria" w:cs="Cambria"/>
            <w:b/>
            <w:bCs/>
            <w:noProof/>
          </w:rPr>
          <w:t>References</w:t>
        </w:r>
        <w:r>
          <w:rPr>
            <w:noProof/>
            <w:webHidden/>
          </w:rPr>
          <w:tab/>
        </w:r>
        <w:r>
          <w:rPr>
            <w:noProof/>
            <w:webHidden/>
          </w:rPr>
          <w:fldChar w:fldCharType="begin"/>
        </w:r>
        <w:r>
          <w:rPr>
            <w:noProof/>
            <w:webHidden/>
          </w:rPr>
          <w:instrText xml:space="preserve"> PAGEREF _Toc237356476 \h </w:instrText>
        </w:r>
        <w:r>
          <w:rPr>
            <w:noProof/>
            <w:webHidden/>
          </w:rPr>
        </w:r>
        <w:r>
          <w:rPr>
            <w:noProof/>
            <w:webHidden/>
          </w:rPr>
          <w:fldChar w:fldCharType="separate"/>
        </w:r>
        <w:r>
          <w:rPr>
            <w:noProof/>
            <w:webHidden/>
          </w:rPr>
          <w:t>5</w:t>
        </w:r>
        <w:r>
          <w:rPr>
            <w:noProof/>
            <w:webHidden/>
          </w:rPr>
          <w:fldChar w:fldCharType="end"/>
        </w:r>
      </w:hyperlink>
    </w:p>
    <w:p w14:paraId="35B859A5" w14:textId="74A622A5" w:rsidR="008A1F4E" w:rsidRPr="004E374F" w:rsidRDefault="00FC2080" w:rsidP="004E374F">
      <w:pPr>
        <w:spacing w:after="120" w:line="264" w:lineRule="auto"/>
        <w:jc w:val="both"/>
      </w:pPr>
      <w:r>
        <w:fldChar w:fldCharType="end"/>
      </w:r>
      <w:r w:rsidR="008A1F4E">
        <w:rPr>
          <w:rFonts w:ascii="Cambria" w:eastAsia="Cambria" w:hAnsi="Cambria" w:cs="Cambria"/>
          <w:b/>
          <w:bCs/>
          <w:color w:val="9C6114"/>
          <w:sz w:val="26"/>
          <w:szCs w:val="26"/>
        </w:rPr>
        <w:br w:type="page"/>
      </w:r>
    </w:p>
    <w:p w14:paraId="30A55092" w14:textId="2A5FBBE7" w:rsidR="001F6394" w:rsidRDefault="00000000">
      <w:pPr>
        <w:pStyle w:val="Heading1"/>
        <w:spacing w:before="220" w:after="90"/>
      </w:pPr>
      <w:bookmarkStart w:id="0" w:name="_Toc237356471"/>
      <w:r>
        <w:rPr>
          <w:rFonts w:ascii="Cambria" w:eastAsia="Cambria" w:hAnsi="Cambria" w:cs="Cambria"/>
          <w:b/>
          <w:bCs/>
          <w:color w:val="9C6114"/>
          <w:sz w:val="26"/>
          <w:szCs w:val="26"/>
        </w:rPr>
        <w:lastRenderedPageBreak/>
        <w:t>1. Introduction</w:t>
      </w:r>
      <w:bookmarkEnd w:id="0"/>
    </w:p>
    <w:p w14:paraId="5110AEC7" w14:textId="354867C8" w:rsidR="001F6394" w:rsidRDefault="00000000">
      <w:pPr>
        <w:spacing w:after="120" w:line="264" w:lineRule="auto"/>
        <w:jc w:val="both"/>
      </w:pPr>
      <w:r>
        <w:t xml:space="preserve">The relationship between poverty and environmental degradation is one of the most debated questions in development and sustainability science. Our Common Future (WCED, 1987) popularised the ‘poverty–environment trap’, in which poor households, lacking financial, physical or human capital, deplete their natural resource base to meet immediate needs, which in turn deepens their poverty. Yet the empirical foundations are contested. </w:t>
      </w:r>
      <w:proofErr w:type="spellStart"/>
      <w:r>
        <w:t>Duraiappah's</w:t>
      </w:r>
      <w:proofErr w:type="spellEnd"/>
      <w:r>
        <w:t xml:space="preserve"> (1998) review of over 100 studies found that the direct causal link from poverty to degradation had weak support, and that market and institutional failures were more proximate drivers. Cavendish (2000) showed that environmental income makes up a large share of poor households' livelihoods, and the Millennium Ecosystem Assessment (MA, 2005) reframed the question around ecosystem services, finding that the costs of degradation fall disproportionately on the poor. </w:t>
      </w:r>
    </w:p>
    <w:p w14:paraId="080DFBE9" w14:textId="4C66FBA2" w:rsidR="001F6394" w:rsidRDefault="00000000">
      <w:pPr>
        <w:spacing w:after="120" w:line="264" w:lineRule="auto"/>
        <w:jc w:val="both"/>
      </w:pPr>
      <w:r>
        <w:t xml:space="preserve">Testing these ideas requires spatially disaggregated, country-wide analysis that separates poverty from urbanisation, location and gender. Most evidence comes from single sites and ad hoc environmental data (Barbier and Hochard, 2019). </w:t>
      </w:r>
      <w:r w:rsidR="00862865">
        <w:t>S</w:t>
      </w:r>
      <w:r>
        <w:t>patially referenced</w:t>
      </w:r>
      <w:r w:rsidR="00862865">
        <w:t xml:space="preserve"> SEEA-based accounts</w:t>
      </w:r>
      <w:r>
        <w:t xml:space="preserve"> ha</w:t>
      </w:r>
      <w:r w:rsidR="00862865">
        <w:t>ve</w:t>
      </w:r>
      <w:r>
        <w:t xml:space="preserve"> not been used to interrogate the poverty–environment nexus. </w:t>
      </w:r>
      <w:proofErr w:type="spellStart"/>
      <w:r>
        <w:t>Eigenraam</w:t>
      </w:r>
      <w:proofErr w:type="spellEnd"/>
      <w:r>
        <w:t xml:space="preserve"> and Choi (2016) proposed the Poverty–Environment Accounting Framework (PEAF) linking poverty to the SEEA, but it had not been tested at national scale. This </w:t>
      </w:r>
      <w:r w:rsidR="00862865">
        <w:t>study tested the PEAF</w:t>
      </w:r>
      <w:r>
        <w:t xml:space="preserve"> using </w:t>
      </w:r>
      <w:r w:rsidR="00862865">
        <w:t xml:space="preserve">accounts and data from </w:t>
      </w:r>
      <w:r>
        <w:t>Ghana.</w:t>
      </w:r>
    </w:p>
    <w:p w14:paraId="1C6AB0EB" w14:textId="77777777" w:rsidR="00862865" w:rsidRDefault="00000000">
      <w:pPr>
        <w:spacing w:after="120" w:line="264" w:lineRule="auto"/>
        <w:jc w:val="both"/>
      </w:pPr>
      <w:r>
        <w:t xml:space="preserve">Four research questions </w:t>
      </w:r>
      <w:r w:rsidR="00862865">
        <w:t>are posed</w:t>
      </w:r>
      <w:r>
        <w:t xml:space="preserve">: </w:t>
      </w:r>
    </w:p>
    <w:p w14:paraId="7524CED9" w14:textId="440F6527" w:rsidR="00862865" w:rsidRDefault="00862865" w:rsidP="00862865">
      <w:pPr>
        <w:pStyle w:val="ListParagraph"/>
        <w:numPr>
          <w:ilvl w:val="0"/>
          <w:numId w:val="2"/>
        </w:numPr>
        <w:spacing w:after="120" w:line="264" w:lineRule="auto"/>
        <w:jc w:val="both"/>
      </w:pPr>
      <w:r>
        <w:t xml:space="preserve">Does district poverty predict land cover change, as the trap predicts? </w:t>
      </w:r>
    </w:p>
    <w:p w14:paraId="0873F1E4" w14:textId="60CE2B2E" w:rsidR="00862865" w:rsidRDefault="00862865" w:rsidP="00862865">
      <w:pPr>
        <w:pStyle w:val="ListParagraph"/>
        <w:numPr>
          <w:ilvl w:val="0"/>
          <w:numId w:val="2"/>
        </w:numPr>
        <w:spacing w:after="120" w:line="264" w:lineRule="auto"/>
        <w:jc w:val="both"/>
      </w:pPr>
      <w:r>
        <w:t xml:space="preserve">Is dependence on ecosystem services greater in poorer, rural and female-headed households? </w:t>
      </w:r>
    </w:p>
    <w:p w14:paraId="48E238CE" w14:textId="2F037AA9" w:rsidR="00862865" w:rsidRDefault="00862865" w:rsidP="00862865">
      <w:pPr>
        <w:pStyle w:val="ListParagraph"/>
        <w:numPr>
          <w:ilvl w:val="0"/>
          <w:numId w:val="2"/>
        </w:numPr>
        <w:spacing w:after="120" w:line="264" w:lineRule="auto"/>
        <w:jc w:val="both"/>
      </w:pPr>
      <w:r>
        <w:t xml:space="preserve">Does Ghana's Multidimensional Poverty Index (MPI) capture the welfare contribution of ecosystem services and natural capital? </w:t>
      </w:r>
    </w:p>
    <w:p w14:paraId="652B56A1" w14:textId="47BFCD9D" w:rsidR="00862865" w:rsidRDefault="00862865" w:rsidP="00862865">
      <w:pPr>
        <w:pStyle w:val="ListParagraph"/>
        <w:numPr>
          <w:ilvl w:val="0"/>
          <w:numId w:val="2"/>
        </w:numPr>
        <w:spacing w:after="120" w:line="264" w:lineRule="auto"/>
        <w:jc w:val="both"/>
      </w:pPr>
      <w:r>
        <w:t xml:space="preserve">Do population density and urbanisation drive environmental change? </w:t>
      </w:r>
    </w:p>
    <w:p w14:paraId="1B85D78A" w14:textId="27619203" w:rsidR="001F6394" w:rsidRDefault="00000000" w:rsidP="00862865">
      <w:pPr>
        <w:spacing w:after="120" w:line="264" w:lineRule="auto"/>
        <w:jc w:val="both"/>
      </w:pPr>
      <w:r>
        <w:t>The questions align with monitoring needs under SDG 1 (no poverty), SDG 5 (gender), SDG 11 (sustainable urbanisation), SDG 15 (life on land) and the ‘beyond GDP’ agenda of SDG 17.19.</w:t>
      </w:r>
    </w:p>
    <w:p w14:paraId="78AA7DF4" w14:textId="77777777" w:rsidR="001F6394" w:rsidRDefault="00000000">
      <w:pPr>
        <w:pStyle w:val="Heading1"/>
        <w:spacing w:before="220" w:after="90"/>
      </w:pPr>
      <w:bookmarkStart w:id="1" w:name="_Toc237356472"/>
      <w:r>
        <w:rPr>
          <w:rFonts w:ascii="Cambria" w:eastAsia="Cambria" w:hAnsi="Cambria" w:cs="Cambria"/>
          <w:b/>
          <w:bCs/>
          <w:color w:val="9C6114"/>
          <w:sz w:val="26"/>
          <w:szCs w:val="26"/>
        </w:rPr>
        <w:t>2. Data and methods</w:t>
      </w:r>
      <w:bookmarkEnd w:id="1"/>
    </w:p>
    <w:p w14:paraId="3FAEFC04" w14:textId="02986369" w:rsidR="001F6394" w:rsidRDefault="00000000">
      <w:pPr>
        <w:spacing w:after="120" w:line="264" w:lineRule="auto"/>
        <w:jc w:val="both"/>
      </w:pPr>
      <w:r>
        <w:t xml:space="preserve">We combined Ghana district-level </w:t>
      </w:r>
      <w:r w:rsidR="00DE0B96">
        <w:t>land cover change</w:t>
      </w:r>
      <w:r>
        <w:t xml:space="preserve"> </w:t>
      </w:r>
      <w:r w:rsidR="00DE0B96">
        <w:t xml:space="preserve">matrices </w:t>
      </w:r>
      <w:r>
        <w:t>with Population and Housing Census poverty and gender data for 260 districts. Poverty is measured multidimensionally using the MPI, which the Ghana Statistical Service compiles from 13 indicators across health, education and living standards (Alkire and Foster, 2011; GSS, 2020). Land cover change indicators (land degradation, land stability, afforestation and deforestation) were calculated from district land cover matrices (</w:t>
      </w:r>
      <w:r w:rsidR="0079227E">
        <w:t>Figure 1</w:t>
      </w:r>
      <w:r>
        <w:t>)</w:t>
      </w:r>
      <w:r w:rsidR="00DE0B96">
        <w:t>, with</w:t>
      </w:r>
      <w:r>
        <w:t xml:space="preserve"> the degradation indicator aligned with the UNCCD and SDG indicator 15.3.1. Two ecosystem services </w:t>
      </w:r>
      <w:r w:rsidR="004E374F">
        <w:t>were</w:t>
      </w:r>
      <w:r>
        <w:t xml:space="preserve"> mapped directly to districts and to household poverty: biomass provisioning (wood and charcoal) for cooking fuel, and water provisioning for drinking water (EPA et al., 2025b). Poverty and gender data are drawn from the 2010 and 2021 censuses, while the accounts cover 2015 and 2021, so associations at the 2021 endpoint are contemporaneous. Non-parametric methods were used throughout — Spearman rank correlation and Mann–Whitney U tests</w:t>
      </w:r>
      <w:r w:rsidR="004E374F">
        <w:t>,</w:t>
      </w:r>
      <w:r>
        <w:t xml:space="preserve"> with ordinary least squares regression and principal component analysis (PCA) </w:t>
      </w:r>
      <w:r w:rsidR="004E374F">
        <w:t xml:space="preserve">used </w:t>
      </w:r>
      <w:r>
        <w:t>to assess independent contributions and patterns of co-variation. These indicators are landscape-scale and enable cross-district comparison, but do not measure ecosystem condition within districts.</w:t>
      </w:r>
    </w:p>
    <w:p w14:paraId="37070164" w14:textId="77777777" w:rsidR="001F6394" w:rsidRDefault="00000000">
      <w:pPr>
        <w:pStyle w:val="Heading1"/>
        <w:spacing w:before="220" w:after="90"/>
      </w:pPr>
      <w:bookmarkStart w:id="2" w:name="_Toc237356473"/>
      <w:r>
        <w:rPr>
          <w:rFonts w:ascii="Cambria" w:eastAsia="Cambria" w:hAnsi="Cambria" w:cs="Cambria"/>
          <w:b/>
          <w:bCs/>
          <w:color w:val="9C6114"/>
          <w:sz w:val="26"/>
          <w:szCs w:val="26"/>
        </w:rPr>
        <w:t>3. Results</w:t>
      </w:r>
      <w:bookmarkEnd w:id="2"/>
    </w:p>
    <w:p w14:paraId="22CD2E4D" w14:textId="2113FCAF" w:rsidR="001F6394" w:rsidRDefault="00000000">
      <w:pPr>
        <w:spacing w:after="120" w:line="264" w:lineRule="auto"/>
        <w:jc w:val="both"/>
      </w:pPr>
      <w:r>
        <w:t>The analysis reveals clear and systematic relationships that run counter to the vicious cycle prediction</w:t>
      </w:r>
      <w:r w:rsidR="00DE0B96">
        <w:t xml:space="preserve"> of the poverty-environment trap</w:t>
      </w:r>
      <w:r>
        <w:t xml:space="preserve"> (Table 1). Land degradation is strongly and negatively associated with poverty (MPI ρ = −0.49, p &lt; 0.001) and afforestation </w:t>
      </w:r>
      <w:r w:rsidR="00DE0B96">
        <w:t xml:space="preserve">is </w:t>
      </w:r>
      <w:r>
        <w:t xml:space="preserve">positively associated (ρ = +0.40). Regression confirms the MPI as a significant negative predictor of degradation, and the pattern </w:t>
      </w:r>
      <w:r w:rsidR="00DE0B96">
        <w:t>follows an</w:t>
      </w:r>
      <w:r>
        <w:t xml:space="preserve"> urban–rural gradient, with degradation concentrated in wealthier, rapidly urbanising districts near Accra and Kumasi.</w:t>
      </w:r>
    </w:p>
    <w:p w14:paraId="3475F2B3" w14:textId="77777777" w:rsidR="001F6394" w:rsidRDefault="00000000">
      <w:pPr>
        <w:spacing w:after="120" w:line="264" w:lineRule="auto"/>
        <w:jc w:val="both"/>
      </w:pPr>
      <w:r>
        <w:lastRenderedPageBreak/>
        <w:t>Dependence on ecosystem services is a defining feature of poverty. Poverty is strongly and positively associated with reliance on ecosystems for cooking fuel (ρ = +0.79) and drinking water (ρ = +0.77), and regression models explain a large share of the variance (R² ≈ 0.68–0.72). Across poverty quintiles, cooking-fuel dependence rises from 0.38 in the least poor districts to 0.88 in the poorest, while land degradation falls from 8.9% to 2.2%. A principal component analysis across nine poverty, ecosystem service and land cover variables found that the first component, explaining 60% of the variance, captures precisely this poverty–ecosystem service nexus.</w:t>
      </w:r>
    </w:p>
    <w:p w14:paraId="5EB599E9" w14:textId="77777777" w:rsidR="008A1F4E" w:rsidRDefault="008A1F4E" w:rsidP="008A1F4E">
      <w:pPr>
        <w:spacing w:after="120"/>
      </w:pPr>
    </w:p>
    <w:p w14:paraId="77DE622C" w14:textId="77777777" w:rsidR="008A1F4E" w:rsidRDefault="008A1F4E" w:rsidP="008A1F4E">
      <w:pPr>
        <w:jc w:val="center"/>
      </w:pPr>
      <w:r>
        <w:rPr>
          <w:noProof/>
        </w:rPr>
        <mc:AlternateContent>
          <mc:Choice Requires="wps">
            <w:drawing>
              <wp:anchor distT="0" distB="0" distL="114300" distR="114300" simplePos="0" relativeHeight="251662336" behindDoc="0" locked="0" layoutInCell="1" allowOverlap="1" wp14:anchorId="42E5568D" wp14:editId="7336328A">
                <wp:simplePos x="0" y="0"/>
                <wp:positionH relativeFrom="column">
                  <wp:posOffset>2263287</wp:posOffset>
                </wp:positionH>
                <wp:positionV relativeFrom="paragraph">
                  <wp:posOffset>3221502</wp:posOffset>
                </wp:positionV>
                <wp:extent cx="337624" cy="274320"/>
                <wp:effectExtent l="0" t="0" r="0" b="0"/>
                <wp:wrapNone/>
                <wp:docPr id="1782544674" name="Text Box 1"/>
                <wp:cNvGraphicFramePr/>
                <a:graphic xmlns:a="http://schemas.openxmlformats.org/drawingml/2006/main">
                  <a:graphicData uri="http://schemas.microsoft.com/office/word/2010/wordprocessingShape">
                    <wps:wsp>
                      <wps:cNvSpPr txBox="1"/>
                      <wps:spPr>
                        <a:xfrm>
                          <a:off x="0" y="0"/>
                          <a:ext cx="337624" cy="274320"/>
                        </a:xfrm>
                        <a:prstGeom prst="rect">
                          <a:avLst/>
                        </a:prstGeom>
                        <a:noFill/>
                        <a:ln w="6350">
                          <a:noFill/>
                        </a:ln>
                      </wps:spPr>
                      <wps:txbx>
                        <w:txbxContent>
                          <w:p w14:paraId="4D44D9F0" w14:textId="77777777" w:rsidR="008A1F4E" w:rsidRPr="00291E62" w:rsidRDefault="008A1F4E" w:rsidP="008A1F4E">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E5568D" id="_x0000_t202" coordsize="21600,21600" o:spt="202" path="m,l,21600r21600,l21600,xe">
                <v:stroke joinstyle="miter"/>
                <v:path gradientshapeok="t" o:connecttype="rect"/>
              </v:shapetype>
              <v:shape id="Text Box 1" o:spid="_x0000_s1026" type="#_x0000_t202" style="position:absolute;left:0;text-align:left;margin-left:178.2pt;margin-top:253.65pt;width:26.6pt;height:2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" filled="f" stroked="f" strokeweight=".5pt">
                <v:textbox>
                  <w:txbxContent>
                    <w:p w14:paraId="4D44D9F0" w14:textId="77777777" w:rsidR="008A1F4E" w:rsidRPr="00291E62" w:rsidRDefault="008A1F4E" w:rsidP="008A1F4E">
                      <w:r>
                        <w:t>D</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013DD7BD" wp14:editId="3C8A2E06">
                <wp:simplePos x="0" y="0"/>
                <wp:positionH relativeFrom="column">
                  <wp:posOffset>-1612</wp:posOffset>
                </wp:positionH>
                <wp:positionV relativeFrom="paragraph">
                  <wp:posOffset>3242603</wp:posOffset>
                </wp:positionV>
                <wp:extent cx="337624" cy="274320"/>
                <wp:effectExtent l="0" t="0" r="0" b="0"/>
                <wp:wrapNone/>
                <wp:docPr id="471669419" name="Text Box 1"/>
                <wp:cNvGraphicFramePr/>
                <a:graphic xmlns:a="http://schemas.openxmlformats.org/drawingml/2006/main">
                  <a:graphicData uri="http://schemas.microsoft.com/office/word/2010/wordprocessingShape">
                    <wps:wsp>
                      <wps:cNvSpPr txBox="1"/>
                      <wps:spPr>
                        <a:xfrm>
                          <a:off x="0" y="0"/>
                          <a:ext cx="337624" cy="274320"/>
                        </a:xfrm>
                        <a:prstGeom prst="rect">
                          <a:avLst/>
                        </a:prstGeom>
                        <a:noFill/>
                        <a:ln w="6350">
                          <a:noFill/>
                        </a:ln>
                      </wps:spPr>
                      <wps:txbx>
                        <w:txbxContent>
                          <w:p w14:paraId="2471856B" w14:textId="77777777" w:rsidR="008A1F4E" w:rsidRPr="00291E62" w:rsidRDefault="008A1F4E" w:rsidP="008A1F4E">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DD7BD" id="_x0000_s1027" type="#_x0000_t202" style="position:absolute;left:0;text-align:left;margin-left:-.15pt;margin-top:255.3pt;width:26.6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" filled="f" stroked="f" strokeweight=".5pt">
                <v:textbox>
                  <w:txbxContent>
                    <w:p w14:paraId="2471856B" w14:textId="77777777" w:rsidR="008A1F4E" w:rsidRPr="00291E62" w:rsidRDefault="008A1F4E" w:rsidP="008A1F4E">
                      <w:r>
                        <w:t>C</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C147725" wp14:editId="582B9903">
                <wp:simplePos x="0" y="0"/>
                <wp:positionH relativeFrom="column">
                  <wp:posOffset>2284388</wp:posOffset>
                </wp:positionH>
                <wp:positionV relativeFrom="paragraph">
                  <wp:posOffset>0</wp:posOffset>
                </wp:positionV>
                <wp:extent cx="337624" cy="274320"/>
                <wp:effectExtent l="0" t="0" r="0" b="0"/>
                <wp:wrapNone/>
                <wp:docPr id="879766070" name="Text Box 1"/>
                <wp:cNvGraphicFramePr/>
                <a:graphic xmlns:a="http://schemas.openxmlformats.org/drawingml/2006/main">
                  <a:graphicData uri="http://schemas.microsoft.com/office/word/2010/wordprocessingShape">
                    <wps:wsp>
                      <wps:cNvSpPr txBox="1"/>
                      <wps:spPr>
                        <a:xfrm>
                          <a:off x="0" y="0"/>
                          <a:ext cx="337624" cy="274320"/>
                        </a:xfrm>
                        <a:prstGeom prst="rect">
                          <a:avLst/>
                        </a:prstGeom>
                        <a:noFill/>
                        <a:ln w="6350">
                          <a:noFill/>
                        </a:ln>
                      </wps:spPr>
                      <wps:txbx>
                        <w:txbxContent>
                          <w:p w14:paraId="6425EE91" w14:textId="77777777" w:rsidR="008A1F4E" w:rsidRPr="00291E62" w:rsidRDefault="008A1F4E" w:rsidP="008A1F4E">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47725" id="_x0000_s1028" type="#_x0000_t202" style="position:absolute;left:0;text-align:left;margin-left:179.85pt;margin-top:0;width:26.6pt;height:21.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" filled="f" stroked="f" strokeweight=".5pt">
                <v:textbox>
                  <w:txbxContent>
                    <w:p w14:paraId="6425EE91" w14:textId="77777777" w:rsidR="008A1F4E" w:rsidRPr="00291E62" w:rsidRDefault="008A1F4E" w:rsidP="008A1F4E">
                      <w:r>
                        <w:t>B</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1B99E860" wp14:editId="7A746E02">
                <wp:simplePos x="0" y="0"/>
                <wp:positionH relativeFrom="column">
                  <wp:posOffset>-2247</wp:posOffset>
                </wp:positionH>
                <wp:positionV relativeFrom="paragraph">
                  <wp:posOffset>34681</wp:posOffset>
                </wp:positionV>
                <wp:extent cx="337624" cy="274320"/>
                <wp:effectExtent l="0" t="0" r="0" b="0"/>
                <wp:wrapNone/>
                <wp:docPr id="623482383" name="Text Box 1"/>
                <wp:cNvGraphicFramePr/>
                <a:graphic xmlns:a="http://schemas.openxmlformats.org/drawingml/2006/main">
                  <a:graphicData uri="http://schemas.microsoft.com/office/word/2010/wordprocessingShape">
                    <wps:wsp>
                      <wps:cNvSpPr txBox="1"/>
                      <wps:spPr>
                        <a:xfrm>
                          <a:off x="0" y="0"/>
                          <a:ext cx="337624" cy="274320"/>
                        </a:xfrm>
                        <a:prstGeom prst="rect">
                          <a:avLst/>
                        </a:prstGeom>
                        <a:noFill/>
                        <a:ln w="6350">
                          <a:noFill/>
                        </a:ln>
                      </wps:spPr>
                      <wps:txbx>
                        <w:txbxContent>
                          <w:p w14:paraId="4DB0356B" w14:textId="77777777" w:rsidR="008A1F4E" w:rsidRPr="00291E62" w:rsidRDefault="008A1F4E" w:rsidP="008A1F4E">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9E860" id="_x0000_s1029" type="#_x0000_t202" style="position:absolute;left:0;text-align:left;margin-left:-.2pt;margin-top:2.75pt;width:26.6pt;height:2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" filled="f" stroked="f" strokeweight=".5pt">
                <v:textbox>
                  <w:txbxContent>
                    <w:p w14:paraId="4DB0356B" w14:textId="77777777" w:rsidR="008A1F4E" w:rsidRPr="00291E62" w:rsidRDefault="008A1F4E" w:rsidP="008A1F4E">
                      <w:r>
                        <w:t>A</w:t>
                      </w:r>
                    </w:p>
                  </w:txbxContent>
                </v:textbox>
              </v:shape>
            </w:pict>
          </mc:Fallback>
        </mc:AlternateContent>
      </w:r>
      <w:r w:rsidRPr="000E184C">
        <w:rPr>
          <w:noProof/>
        </w:rPr>
        <w:drawing>
          <wp:inline distT="0" distB="0" distL="0" distR="0" wp14:anchorId="5FAD3956" wp14:editId="137D86C4">
            <wp:extent cx="2283730" cy="3194050"/>
            <wp:effectExtent l="0" t="0" r="2540" b="0"/>
            <wp:docPr id="197977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7493" name=""/>
                    <pic:cNvPicPr/>
                  </pic:nvPicPr>
                  <pic:blipFill>
                    <a:blip r:embed="rId8"/>
                    <a:stretch>
                      <a:fillRect/>
                    </a:stretch>
                  </pic:blipFill>
                  <pic:spPr>
                    <a:xfrm>
                      <a:off x="0" y="0"/>
                      <a:ext cx="2324875" cy="3251596"/>
                    </a:xfrm>
                    <a:prstGeom prst="rect">
                      <a:avLst/>
                    </a:prstGeom>
                  </pic:spPr>
                </pic:pic>
              </a:graphicData>
            </a:graphic>
          </wp:inline>
        </w:drawing>
      </w:r>
      <w:r w:rsidRPr="000E184C">
        <w:rPr>
          <w:noProof/>
        </w:rPr>
        <w:drawing>
          <wp:inline distT="0" distB="0" distL="0" distR="0" wp14:anchorId="51A7BD9B" wp14:editId="2B21CA30">
            <wp:extent cx="2266839" cy="3193253"/>
            <wp:effectExtent l="0" t="0" r="0" b="0"/>
            <wp:docPr id="1666270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70547" name=""/>
                    <pic:cNvPicPr/>
                  </pic:nvPicPr>
                  <pic:blipFill>
                    <a:blip r:embed="rId9"/>
                    <a:stretch>
                      <a:fillRect/>
                    </a:stretch>
                  </pic:blipFill>
                  <pic:spPr>
                    <a:xfrm>
                      <a:off x="0" y="0"/>
                      <a:ext cx="2316468" cy="3263165"/>
                    </a:xfrm>
                    <a:prstGeom prst="rect">
                      <a:avLst/>
                    </a:prstGeom>
                  </pic:spPr>
                </pic:pic>
              </a:graphicData>
            </a:graphic>
          </wp:inline>
        </w:drawing>
      </w:r>
      <w:r w:rsidRPr="000E184C">
        <w:rPr>
          <w:noProof/>
        </w:rPr>
        <w:drawing>
          <wp:inline distT="0" distB="0" distL="0" distR="0" wp14:anchorId="4A5655F9" wp14:editId="6D2D16AF">
            <wp:extent cx="2265837" cy="3181350"/>
            <wp:effectExtent l="0" t="0" r="0" b="0"/>
            <wp:docPr id="373138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38938" name=""/>
                    <pic:cNvPicPr/>
                  </pic:nvPicPr>
                  <pic:blipFill>
                    <a:blip r:embed="rId10"/>
                    <a:stretch>
                      <a:fillRect/>
                    </a:stretch>
                  </pic:blipFill>
                  <pic:spPr>
                    <a:xfrm>
                      <a:off x="0" y="0"/>
                      <a:ext cx="2308379" cy="3241081"/>
                    </a:xfrm>
                    <a:prstGeom prst="rect">
                      <a:avLst/>
                    </a:prstGeom>
                  </pic:spPr>
                </pic:pic>
              </a:graphicData>
            </a:graphic>
          </wp:inline>
        </w:drawing>
      </w:r>
      <w:r>
        <w:rPr>
          <w:noProof/>
        </w:rPr>
        <w:drawing>
          <wp:inline distT="0" distB="0" distL="0" distR="0" wp14:anchorId="75CC209F" wp14:editId="330C66ED">
            <wp:extent cx="2345867" cy="3202631"/>
            <wp:effectExtent l="0" t="0" r="0" b="0"/>
            <wp:docPr id="1970313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13008" name=""/>
                    <pic:cNvPicPr/>
                  </pic:nvPicPr>
                  <pic:blipFill>
                    <a:blip r:embed="rId11"/>
                    <a:stretch>
                      <a:fillRect/>
                    </a:stretch>
                  </pic:blipFill>
                  <pic:spPr>
                    <a:xfrm>
                      <a:off x="0" y="0"/>
                      <a:ext cx="2345867" cy="3202631"/>
                    </a:xfrm>
                    <a:prstGeom prst="rect">
                      <a:avLst/>
                    </a:prstGeom>
                  </pic:spPr>
                </pic:pic>
              </a:graphicData>
            </a:graphic>
          </wp:inline>
        </w:drawing>
      </w:r>
    </w:p>
    <w:p w14:paraId="5229F737" w14:textId="77777777" w:rsidR="001000CE" w:rsidRPr="001000CE" w:rsidRDefault="001000CE" w:rsidP="001000CE">
      <w:pPr>
        <w:pStyle w:val="ListParagraph"/>
        <w:numPr>
          <w:ilvl w:val="0"/>
          <w:numId w:val="3"/>
        </w:numPr>
      </w:pPr>
    </w:p>
    <w:p w14:paraId="29692CB8" w14:textId="2C444579" w:rsidR="008A1F4E" w:rsidRPr="00291E62" w:rsidRDefault="008A1F4E" w:rsidP="001000CE">
      <w:pPr>
        <w:pStyle w:val="ListParagraph"/>
        <w:numPr>
          <w:ilvl w:val="0"/>
          <w:numId w:val="3"/>
        </w:numPr>
      </w:pPr>
      <w:r w:rsidRPr="001000CE">
        <w:rPr>
          <w:b/>
          <w:bCs/>
        </w:rPr>
        <w:t>Figure 1.</w:t>
      </w:r>
      <w:r w:rsidRPr="007504B8">
        <w:t xml:space="preserve"> Indicators from </w:t>
      </w:r>
      <w:r>
        <w:t>l</w:t>
      </w:r>
      <w:r w:rsidRPr="007504B8">
        <w:t xml:space="preserve">and </w:t>
      </w:r>
      <w:r>
        <w:t xml:space="preserve">cover extent </w:t>
      </w:r>
      <w:r w:rsidRPr="007504B8">
        <w:t xml:space="preserve">and ecosystem </w:t>
      </w:r>
      <w:r>
        <w:t xml:space="preserve">services </w:t>
      </w:r>
      <w:r w:rsidRPr="007504B8">
        <w:t xml:space="preserve">accounts. </w:t>
      </w:r>
      <w:r>
        <w:t>(A)</w:t>
      </w:r>
      <w:r w:rsidRPr="007504B8">
        <w:t xml:space="preserve"> </w:t>
      </w:r>
      <w:r w:rsidRPr="00291E62">
        <w:t xml:space="preserve">Afforestation % change 2015-2021; </w:t>
      </w:r>
      <w:r>
        <w:t>(B)</w:t>
      </w:r>
      <w:r w:rsidRPr="00291E62">
        <w:t xml:space="preserve"> land degradation % change 2015-2021; </w:t>
      </w:r>
      <w:r>
        <w:t>(C)</w:t>
      </w:r>
      <w:r w:rsidRPr="00291E62">
        <w:t xml:space="preserve"> portion of households where ecosystem services provide the main source of drinking water in 2021, and; </w:t>
      </w:r>
      <w:r>
        <w:t>(D)</w:t>
      </w:r>
      <w:r w:rsidRPr="00291E62">
        <w:t xml:space="preserve"> portion of households in 2021 where ecosystem services provide the main source of cooking fuel</w:t>
      </w:r>
    </w:p>
    <w:p w14:paraId="17AF99B6" w14:textId="2B2F6481" w:rsidR="008A1F4E" w:rsidRDefault="008A1F4E" w:rsidP="001000CE">
      <w:pPr>
        <w:pStyle w:val="ListParagraph"/>
        <w:numPr>
          <w:ilvl w:val="0"/>
          <w:numId w:val="3"/>
        </w:numPr>
      </w:pPr>
      <w:r>
        <w:br w:type="page"/>
      </w:r>
    </w:p>
    <w:p w14:paraId="0254FB2D" w14:textId="5C631439" w:rsidR="001000CE" w:rsidRDefault="001000CE" w:rsidP="001000CE">
      <w:pPr>
        <w:spacing w:after="120" w:line="264" w:lineRule="auto"/>
        <w:jc w:val="both"/>
      </w:pPr>
      <w:r>
        <w:lastRenderedPageBreak/>
        <w:t xml:space="preserve">Population dynamics </w:t>
      </w:r>
      <w:r w:rsidR="004E374F">
        <w:t>is a driver of</w:t>
      </w:r>
      <w:r>
        <w:t xml:space="preserve"> land cover change. Districts with faster growth in population density show significantly higher land degradation (ρ = +0.43, p &lt; 0.001), while population density itself is a near-perfect inverse proxy for poverty (ρ = −0.79). Female-headed households are significantly poorer than male-headed households (poverty incidence 29.7% vs 23.5%, p &lt; 0.001), but they are concentrated in wealthier urban districts with higher degradation, producing a counterintuitive negative association between female MPI and deforestation that reflects location rather than causation.</w:t>
      </w:r>
    </w:p>
    <w:p w14:paraId="11349596" w14:textId="77777777" w:rsidR="001000CE" w:rsidRDefault="001000CE" w:rsidP="001000CE">
      <w:pPr>
        <w:spacing w:before="40" w:after="60"/>
      </w:pPr>
      <w:r>
        <w:rPr>
          <w:i/>
          <w:iCs/>
          <w:color w:val="555555"/>
          <w:sz w:val="18"/>
          <w:szCs w:val="18"/>
        </w:rPr>
        <w:t>Table 1. Selected district-level associations, Ghana (2015–2021). Spearman ρ; n = 260 districts; all p &lt; 0.001.</w:t>
      </w:r>
    </w:p>
    <w:tbl>
      <w:tblPr>
        <w:tblW w:w="9240" w:type="dxa"/>
        <w:tblBorders>
          <w:top w:val="single" w:sz="4" w:space="0" w:color="BBBBBB"/>
          <w:bottom w:val="single" w:sz="4" w:space="0" w:color="BBBBBB"/>
          <w:insideH w:val="single" w:sz="2" w:space="0" w:color="DDDDDD"/>
        </w:tblBorders>
        <w:tblCellMar>
          <w:left w:w="10" w:type="dxa"/>
          <w:right w:w="10" w:type="dxa"/>
        </w:tblCellMar>
        <w:tblLook w:val="04A0" w:firstRow="1" w:lastRow="0" w:firstColumn="1" w:lastColumn="0" w:noHBand="0" w:noVBand="1"/>
      </w:tblPr>
      <w:tblGrid>
        <w:gridCol w:w="6900"/>
        <w:gridCol w:w="2340"/>
      </w:tblGrid>
      <w:tr w:rsidR="001000CE" w14:paraId="507DB19A" w14:textId="77777777" w:rsidTr="00876342">
        <w:trPr>
          <w:tblHeader/>
        </w:trPr>
        <w:tc>
          <w:tcPr>
            <w:tcW w:w="6900" w:type="dxa"/>
            <w:shd w:val="clear" w:color="auto" w:fill="9C6114"/>
            <w:tcMar>
              <w:top w:w="40" w:type="dxa"/>
              <w:left w:w="80" w:type="dxa"/>
              <w:bottom w:w="40" w:type="dxa"/>
              <w:right w:w="80" w:type="dxa"/>
            </w:tcMar>
          </w:tcPr>
          <w:p w14:paraId="295B63BA" w14:textId="77777777" w:rsidR="001000CE" w:rsidRDefault="001000CE" w:rsidP="00876342">
            <w:r>
              <w:rPr>
                <w:b/>
                <w:bCs/>
                <w:color w:val="FFFFFF"/>
                <w:sz w:val="18"/>
                <w:szCs w:val="18"/>
              </w:rPr>
              <w:t>Association</w:t>
            </w:r>
          </w:p>
        </w:tc>
        <w:tc>
          <w:tcPr>
            <w:tcW w:w="2340" w:type="dxa"/>
            <w:shd w:val="clear" w:color="auto" w:fill="9C6114"/>
            <w:tcMar>
              <w:top w:w="40" w:type="dxa"/>
              <w:left w:w="80" w:type="dxa"/>
              <w:bottom w:w="40" w:type="dxa"/>
              <w:right w:w="80" w:type="dxa"/>
            </w:tcMar>
          </w:tcPr>
          <w:p w14:paraId="320DA4F2" w14:textId="77777777" w:rsidR="001000CE" w:rsidRDefault="001000CE" w:rsidP="00876342">
            <w:pPr>
              <w:jc w:val="center"/>
            </w:pPr>
            <w:r>
              <w:rPr>
                <w:b/>
                <w:bCs/>
                <w:color w:val="FFFFFF"/>
                <w:sz w:val="18"/>
                <w:szCs w:val="18"/>
              </w:rPr>
              <w:t>Spearman ρ</w:t>
            </w:r>
          </w:p>
        </w:tc>
      </w:tr>
      <w:tr w:rsidR="001000CE" w14:paraId="22FADBF8" w14:textId="77777777" w:rsidTr="00876342">
        <w:tc>
          <w:tcPr>
            <w:tcW w:w="6900" w:type="dxa"/>
            <w:tcMar>
              <w:top w:w="40" w:type="dxa"/>
              <w:left w:w="80" w:type="dxa"/>
              <w:bottom w:w="40" w:type="dxa"/>
              <w:right w:w="80" w:type="dxa"/>
            </w:tcMar>
          </w:tcPr>
          <w:p w14:paraId="01134B0C" w14:textId="77777777" w:rsidR="001000CE" w:rsidRDefault="001000CE" w:rsidP="00876342">
            <w:r>
              <w:rPr>
                <w:color w:val="222222"/>
                <w:sz w:val="18"/>
                <w:szCs w:val="18"/>
              </w:rPr>
              <w:t>Poverty (MPI) × land degradation</w:t>
            </w:r>
          </w:p>
        </w:tc>
        <w:tc>
          <w:tcPr>
            <w:tcW w:w="2340" w:type="dxa"/>
            <w:tcMar>
              <w:top w:w="40" w:type="dxa"/>
              <w:left w:w="80" w:type="dxa"/>
              <w:bottom w:w="40" w:type="dxa"/>
              <w:right w:w="80" w:type="dxa"/>
            </w:tcMar>
          </w:tcPr>
          <w:p w14:paraId="5C32C6A0" w14:textId="77777777" w:rsidR="001000CE" w:rsidRDefault="001000CE" w:rsidP="00876342">
            <w:pPr>
              <w:jc w:val="center"/>
            </w:pPr>
            <w:r>
              <w:rPr>
                <w:color w:val="222222"/>
                <w:sz w:val="18"/>
                <w:szCs w:val="18"/>
              </w:rPr>
              <w:t>−0.49</w:t>
            </w:r>
          </w:p>
        </w:tc>
      </w:tr>
      <w:tr w:rsidR="001000CE" w14:paraId="3FB6FD0E" w14:textId="77777777" w:rsidTr="00876342">
        <w:tc>
          <w:tcPr>
            <w:tcW w:w="6900" w:type="dxa"/>
            <w:tcMar>
              <w:top w:w="40" w:type="dxa"/>
              <w:left w:w="80" w:type="dxa"/>
              <w:bottom w:w="40" w:type="dxa"/>
              <w:right w:w="80" w:type="dxa"/>
            </w:tcMar>
          </w:tcPr>
          <w:p w14:paraId="0CD570FE" w14:textId="77777777" w:rsidR="001000CE" w:rsidRDefault="001000CE" w:rsidP="00876342">
            <w:r>
              <w:rPr>
                <w:color w:val="222222"/>
                <w:sz w:val="18"/>
                <w:szCs w:val="18"/>
              </w:rPr>
              <w:t>Poverty (MPI) × afforestation</w:t>
            </w:r>
          </w:p>
        </w:tc>
        <w:tc>
          <w:tcPr>
            <w:tcW w:w="2340" w:type="dxa"/>
            <w:tcMar>
              <w:top w:w="40" w:type="dxa"/>
              <w:left w:w="80" w:type="dxa"/>
              <w:bottom w:w="40" w:type="dxa"/>
              <w:right w:w="80" w:type="dxa"/>
            </w:tcMar>
          </w:tcPr>
          <w:p w14:paraId="735C8714" w14:textId="77777777" w:rsidR="001000CE" w:rsidRDefault="001000CE" w:rsidP="00876342">
            <w:pPr>
              <w:jc w:val="center"/>
            </w:pPr>
            <w:r>
              <w:rPr>
                <w:color w:val="222222"/>
                <w:sz w:val="18"/>
                <w:szCs w:val="18"/>
              </w:rPr>
              <w:t>+0.40</w:t>
            </w:r>
          </w:p>
        </w:tc>
      </w:tr>
      <w:tr w:rsidR="001000CE" w14:paraId="077A1BA7" w14:textId="77777777" w:rsidTr="00876342">
        <w:tc>
          <w:tcPr>
            <w:tcW w:w="6900" w:type="dxa"/>
            <w:tcMar>
              <w:top w:w="40" w:type="dxa"/>
              <w:left w:w="80" w:type="dxa"/>
              <w:bottom w:w="40" w:type="dxa"/>
              <w:right w:w="80" w:type="dxa"/>
            </w:tcMar>
          </w:tcPr>
          <w:p w14:paraId="6A16E66A" w14:textId="77777777" w:rsidR="001000CE" w:rsidRDefault="001000CE" w:rsidP="00876342">
            <w:r>
              <w:rPr>
                <w:color w:val="222222"/>
                <w:sz w:val="18"/>
                <w:szCs w:val="18"/>
              </w:rPr>
              <w:t>Poverty (MPI) × cooking-fuel dependence on ecosystems</w:t>
            </w:r>
          </w:p>
        </w:tc>
        <w:tc>
          <w:tcPr>
            <w:tcW w:w="2340" w:type="dxa"/>
            <w:tcMar>
              <w:top w:w="40" w:type="dxa"/>
              <w:left w:w="80" w:type="dxa"/>
              <w:bottom w:w="40" w:type="dxa"/>
              <w:right w:w="80" w:type="dxa"/>
            </w:tcMar>
          </w:tcPr>
          <w:p w14:paraId="0B9252AB" w14:textId="77777777" w:rsidR="001000CE" w:rsidRDefault="001000CE" w:rsidP="00876342">
            <w:pPr>
              <w:jc w:val="center"/>
            </w:pPr>
            <w:r>
              <w:rPr>
                <w:color w:val="222222"/>
                <w:sz w:val="18"/>
                <w:szCs w:val="18"/>
              </w:rPr>
              <w:t>+0.79</w:t>
            </w:r>
          </w:p>
        </w:tc>
      </w:tr>
      <w:tr w:rsidR="001000CE" w14:paraId="1E0A3265" w14:textId="77777777" w:rsidTr="00876342">
        <w:tc>
          <w:tcPr>
            <w:tcW w:w="6900" w:type="dxa"/>
            <w:tcMar>
              <w:top w:w="40" w:type="dxa"/>
              <w:left w:w="80" w:type="dxa"/>
              <w:bottom w:w="40" w:type="dxa"/>
              <w:right w:w="80" w:type="dxa"/>
            </w:tcMar>
          </w:tcPr>
          <w:p w14:paraId="72838B9D" w14:textId="77777777" w:rsidR="001000CE" w:rsidRDefault="001000CE" w:rsidP="00876342">
            <w:r>
              <w:rPr>
                <w:color w:val="222222"/>
                <w:sz w:val="18"/>
                <w:szCs w:val="18"/>
              </w:rPr>
              <w:t>Poverty (MPI) × drinking-water dependence on ecosystems</w:t>
            </w:r>
          </w:p>
        </w:tc>
        <w:tc>
          <w:tcPr>
            <w:tcW w:w="2340" w:type="dxa"/>
            <w:tcMar>
              <w:top w:w="40" w:type="dxa"/>
              <w:left w:w="80" w:type="dxa"/>
              <w:bottom w:w="40" w:type="dxa"/>
              <w:right w:w="80" w:type="dxa"/>
            </w:tcMar>
          </w:tcPr>
          <w:p w14:paraId="3B8FFDD9" w14:textId="77777777" w:rsidR="001000CE" w:rsidRDefault="001000CE" w:rsidP="00876342">
            <w:pPr>
              <w:jc w:val="center"/>
            </w:pPr>
            <w:r>
              <w:rPr>
                <w:color w:val="222222"/>
                <w:sz w:val="18"/>
                <w:szCs w:val="18"/>
              </w:rPr>
              <w:t>+0.77</w:t>
            </w:r>
          </w:p>
        </w:tc>
      </w:tr>
      <w:tr w:rsidR="001000CE" w14:paraId="6E7A085F" w14:textId="77777777" w:rsidTr="00876342">
        <w:tc>
          <w:tcPr>
            <w:tcW w:w="6900" w:type="dxa"/>
            <w:tcMar>
              <w:top w:w="40" w:type="dxa"/>
              <w:left w:w="80" w:type="dxa"/>
              <w:bottom w:w="40" w:type="dxa"/>
              <w:right w:w="80" w:type="dxa"/>
            </w:tcMar>
          </w:tcPr>
          <w:p w14:paraId="083C07E3" w14:textId="77777777" w:rsidR="001000CE" w:rsidRDefault="001000CE" w:rsidP="00876342">
            <w:r>
              <w:rPr>
                <w:color w:val="222222"/>
                <w:sz w:val="18"/>
                <w:szCs w:val="18"/>
              </w:rPr>
              <w:t>Population density × poverty (MPI)</w:t>
            </w:r>
          </w:p>
        </w:tc>
        <w:tc>
          <w:tcPr>
            <w:tcW w:w="2340" w:type="dxa"/>
            <w:tcMar>
              <w:top w:w="40" w:type="dxa"/>
              <w:left w:w="80" w:type="dxa"/>
              <w:bottom w:w="40" w:type="dxa"/>
              <w:right w:w="80" w:type="dxa"/>
            </w:tcMar>
          </w:tcPr>
          <w:p w14:paraId="020755FA" w14:textId="77777777" w:rsidR="001000CE" w:rsidRDefault="001000CE" w:rsidP="00876342">
            <w:pPr>
              <w:jc w:val="center"/>
            </w:pPr>
            <w:r>
              <w:rPr>
                <w:color w:val="222222"/>
                <w:sz w:val="18"/>
                <w:szCs w:val="18"/>
              </w:rPr>
              <w:t>−0.79</w:t>
            </w:r>
          </w:p>
        </w:tc>
      </w:tr>
      <w:tr w:rsidR="001000CE" w14:paraId="39D91479" w14:textId="77777777" w:rsidTr="00876342">
        <w:tc>
          <w:tcPr>
            <w:tcW w:w="6900" w:type="dxa"/>
            <w:tcMar>
              <w:top w:w="40" w:type="dxa"/>
              <w:left w:w="80" w:type="dxa"/>
              <w:bottom w:w="40" w:type="dxa"/>
              <w:right w:w="80" w:type="dxa"/>
            </w:tcMar>
          </w:tcPr>
          <w:p w14:paraId="5AA01953" w14:textId="77777777" w:rsidR="001000CE" w:rsidRDefault="001000CE" w:rsidP="00876342">
            <w:r>
              <w:rPr>
                <w:color w:val="222222"/>
                <w:sz w:val="18"/>
                <w:szCs w:val="18"/>
              </w:rPr>
              <w:t>Change in population density × land degradation</w:t>
            </w:r>
          </w:p>
        </w:tc>
        <w:tc>
          <w:tcPr>
            <w:tcW w:w="2340" w:type="dxa"/>
            <w:tcMar>
              <w:top w:w="40" w:type="dxa"/>
              <w:left w:w="80" w:type="dxa"/>
              <w:bottom w:w="40" w:type="dxa"/>
              <w:right w:w="80" w:type="dxa"/>
            </w:tcMar>
          </w:tcPr>
          <w:p w14:paraId="4AF87CD0" w14:textId="77777777" w:rsidR="001000CE" w:rsidRDefault="001000CE" w:rsidP="00876342">
            <w:pPr>
              <w:jc w:val="center"/>
            </w:pPr>
            <w:r>
              <w:rPr>
                <w:color w:val="222222"/>
                <w:sz w:val="18"/>
                <w:szCs w:val="18"/>
              </w:rPr>
              <w:t>+0.43</w:t>
            </w:r>
          </w:p>
        </w:tc>
      </w:tr>
    </w:tbl>
    <w:p w14:paraId="542F6A6D" w14:textId="77777777" w:rsidR="008A1F4E" w:rsidRDefault="008A1F4E">
      <w:pPr>
        <w:spacing w:after="120"/>
      </w:pPr>
    </w:p>
    <w:p w14:paraId="06F6FD09" w14:textId="77777777" w:rsidR="001F6394" w:rsidRDefault="00000000">
      <w:pPr>
        <w:pStyle w:val="Heading1"/>
        <w:spacing w:before="220" w:after="90"/>
      </w:pPr>
      <w:bookmarkStart w:id="3" w:name="_Toc237356474"/>
      <w:r>
        <w:rPr>
          <w:rFonts w:ascii="Cambria" w:eastAsia="Cambria" w:hAnsi="Cambria" w:cs="Cambria"/>
          <w:b/>
          <w:bCs/>
          <w:color w:val="9C6114"/>
          <w:sz w:val="26"/>
          <w:szCs w:val="26"/>
        </w:rPr>
        <w:t>4. Discussion</w:t>
      </w:r>
      <w:bookmarkEnd w:id="3"/>
    </w:p>
    <w:p w14:paraId="4C55F093" w14:textId="77777777" w:rsidR="001F6394" w:rsidRDefault="00000000">
      <w:pPr>
        <w:spacing w:before="60" w:after="40"/>
      </w:pPr>
      <w:r>
        <w:rPr>
          <w:b/>
          <w:bCs/>
          <w:color w:val="9C6114"/>
        </w:rPr>
        <w:t>The poverty–environment nexus revisited</w:t>
      </w:r>
    </w:p>
    <w:p w14:paraId="17FB1AFC" w14:textId="6362C976" w:rsidR="001F6394" w:rsidRDefault="00000000">
      <w:pPr>
        <w:spacing w:after="120" w:line="264" w:lineRule="auto"/>
        <w:jc w:val="both"/>
      </w:pPr>
      <w:r>
        <w:t>The results challenge the poverty–environment trap. Degradation is concentrated in faster-growing, wealthier peri-urban districts where population change is the primary driver, while the poorest rural districts show high land stability and high ecosystem service use</w:t>
      </w:r>
      <w:r w:rsidR="00DE0B96">
        <w:t xml:space="preserve">. This </w:t>
      </w:r>
      <w:r>
        <w:t xml:space="preserve">pattern </w:t>
      </w:r>
      <w:r w:rsidR="00DE0B96">
        <w:t xml:space="preserve">is </w:t>
      </w:r>
      <w:r>
        <w:t xml:space="preserve">more consistent with community stewardship than with overexploitation. This echoes </w:t>
      </w:r>
      <w:proofErr w:type="spellStart"/>
      <w:r>
        <w:t>Duraiappah</w:t>
      </w:r>
      <w:proofErr w:type="spellEnd"/>
      <w:r>
        <w:t xml:space="preserve"> (1998) and </w:t>
      </w:r>
      <w:proofErr w:type="spellStart"/>
      <w:r>
        <w:t>Eigenraam</w:t>
      </w:r>
      <w:proofErr w:type="spellEnd"/>
      <w:r>
        <w:t xml:space="preserve"> and Choi (2016), is consistent with forest transition theory (Mather, 1992; Van Vliet, 2019), and is corroborated by independent Ghanaian studies documenting urbanisation-driven degradation (Antwi-Agyei et al., 2019) and active tree stewardship by poorer farmers (</w:t>
      </w:r>
      <w:proofErr w:type="spellStart"/>
      <w:r>
        <w:t>Nachibi</w:t>
      </w:r>
      <w:proofErr w:type="spellEnd"/>
      <w:r>
        <w:t xml:space="preserve"> and Morgan, 2023).</w:t>
      </w:r>
    </w:p>
    <w:p w14:paraId="1746F863" w14:textId="77777777" w:rsidR="001F6394" w:rsidRDefault="00000000">
      <w:pPr>
        <w:spacing w:before="60" w:after="40"/>
      </w:pPr>
      <w:r>
        <w:rPr>
          <w:b/>
          <w:bCs/>
          <w:color w:val="9C6114"/>
        </w:rPr>
        <w:t>A hidden dimension of poverty</w:t>
      </w:r>
    </w:p>
    <w:p w14:paraId="18B3A258" w14:textId="7A436255" w:rsidR="001F6394" w:rsidRDefault="00000000">
      <w:pPr>
        <w:spacing w:after="120" w:line="264" w:lineRule="auto"/>
        <w:jc w:val="both"/>
      </w:pPr>
      <w:r>
        <w:t xml:space="preserve">The strong positive association between poverty and ecosystem service dependence points to welfare that conventional </w:t>
      </w:r>
      <w:r w:rsidR="00DE0B96">
        <w:t xml:space="preserve">poverty </w:t>
      </w:r>
      <w:r>
        <w:t>measures do not capture. Poor rural households use forests for fuel and rivers and groundwater for drinking as substitutes for commercial energy and piped water</w:t>
      </w:r>
      <w:r w:rsidR="00DE0B96">
        <w:t>. T</w:t>
      </w:r>
      <w:r>
        <w:t>his is not simply deprivation but the use of a real and productive natural asset. Meanwhile</w:t>
      </w:r>
      <w:r w:rsidR="00DE0B96">
        <w:t>,</w:t>
      </w:r>
      <w:r>
        <w:t xml:space="preserve"> the rapidly urbanising districts around Accra and Kumasi are accumulating a form of natural capital debt as forest cover and water regulation services decline.</w:t>
      </w:r>
    </w:p>
    <w:p w14:paraId="3E67BC2C" w14:textId="77777777" w:rsidR="001F6394" w:rsidRDefault="00000000">
      <w:pPr>
        <w:spacing w:before="60" w:after="40"/>
      </w:pPr>
      <w:r>
        <w:rPr>
          <w:b/>
          <w:bCs/>
          <w:color w:val="9C6114"/>
        </w:rPr>
        <w:t>What the MPI misses</w:t>
      </w:r>
    </w:p>
    <w:p w14:paraId="2CAAB249" w14:textId="60A7F37D" w:rsidR="001F6394" w:rsidRDefault="00000000">
      <w:pPr>
        <w:spacing w:after="120" w:line="264" w:lineRule="auto"/>
        <w:jc w:val="both"/>
      </w:pPr>
      <w:r>
        <w:t xml:space="preserve">Ghana's MPI treats the environment as background context rather than as a direct component of welfare. Its cooking-fuel indicator counts </w:t>
      </w:r>
      <w:proofErr w:type="spellStart"/>
      <w:r>
        <w:t>woodfuel</w:t>
      </w:r>
      <w:proofErr w:type="spellEnd"/>
      <w:r>
        <w:t xml:space="preserve"> use as a deprivation, so a household using freely available firewood is classed as more deprived than an urban household purchasing bottled gas, even though the former has zero fuel expenditure and access to a renewable asset (the health effects of woodsmoke are captured separately in </w:t>
      </w:r>
      <w:r w:rsidR="004E374F">
        <w:t xml:space="preserve">MPI’s </w:t>
      </w:r>
      <w:r>
        <w:t>health dimension). Incorporating ecosystem services and natural capital condition into poverty assessment would likely revise district poverty rankings, reducing apparent deprivation in forest-rich rural areas and revealing the growing deficit in urbanising districts. This directly serves SDG 17.19 (beyond GDP) and would strengthen Ghana's reporting against SDG 1.2.2.</w:t>
      </w:r>
    </w:p>
    <w:p w14:paraId="2B866D3E" w14:textId="77777777" w:rsidR="001F6394" w:rsidRDefault="00000000">
      <w:pPr>
        <w:spacing w:before="60" w:after="40"/>
      </w:pPr>
      <w:r>
        <w:rPr>
          <w:b/>
          <w:bCs/>
          <w:color w:val="9C6114"/>
        </w:rPr>
        <w:t>Gender</w:t>
      </w:r>
    </w:p>
    <w:p w14:paraId="5F19AB61" w14:textId="77777777" w:rsidR="001F6394" w:rsidRDefault="00000000">
      <w:pPr>
        <w:spacing w:after="120" w:line="264" w:lineRule="auto"/>
        <w:jc w:val="both"/>
      </w:pPr>
      <w:r>
        <w:t>Female-headed households are poorer nationwide, but their spatial concentration in urban districts explains the aggregate association between female headship and degradation (Doss et al., 2018; Rocheleau et al., 1996). In rural areas, female- and male-headed households use ecosystem services at comparable rates. The labour burden of collecting water and fuelwood as services decline falls disproportionately on women and is not observable in these data — an important avenue for future household-level work.</w:t>
      </w:r>
    </w:p>
    <w:p w14:paraId="6B4EE102" w14:textId="77777777" w:rsidR="001000CE" w:rsidRDefault="001000CE">
      <w:pPr>
        <w:rPr>
          <w:b/>
          <w:bCs/>
          <w:color w:val="9C6114"/>
        </w:rPr>
      </w:pPr>
      <w:r>
        <w:rPr>
          <w:b/>
          <w:bCs/>
          <w:color w:val="9C6114"/>
        </w:rPr>
        <w:br w:type="page"/>
      </w:r>
    </w:p>
    <w:p w14:paraId="76D0897E" w14:textId="3B168DE8" w:rsidR="001F6394" w:rsidRDefault="00000000">
      <w:pPr>
        <w:spacing w:before="60" w:after="40"/>
      </w:pPr>
      <w:r>
        <w:rPr>
          <w:b/>
          <w:bCs/>
          <w:color w:val="9C6114"/>
        </w:rPr>
        <w:lastRenderedPageBreak/>
        <w:t>Policy implications</w:t>
      </w:r>
    </w:p>
    <w:p w14:paraId="39379E23" w14:textId="74BAFCF4" w:rsidR="001F6394" w:rsidRDefault="00DE0B96">
      <w:pPr>
        <w:spacing w:after="120" w:line="264" w:lineRule="auto"/>
        <w:jc w:val="both"/>
      </w:pPr>
      <w:r>
        <w:t>Policies premised on the vicious cycle that target degradation in poor rural areas may misallocate resources as the highest degradation is in wealthier, urbanising districts. As such, land management investment should be directed to peri-urban growth zones around Accra, Kumasi and other growing cities. The natural capital concentrated in poorer rural districts is a real but currently invisible asset. Payments or market-based instruments that recognise existing stewardship, with most income flowing to local communities, would help maintain low degradation and reduce the pressure to convert land or migrate. Neither Ghana's Medium-Term National Development Policy Framework nor the associated IMF strategy (IMF, 2024) references accounts for poverty monitoring, yet the SEEA accounts Ghana has already published provide the infrastructure to close this gap, consistent with how accounts support the policy cycle (Vardon et al., 2016).</w:t>
      </w:r>
    </w:p>
    <w:p w14:paraId="25BA65D4" w14:textId="77777777" w:rsidR="001F6394" w:rsidRDefault="00000000">
      <w:pPr>
        <w:pStyle w:val="Heading1"/>
        <w:spacing w:before="220" w:after="90"/>
      </w:pPr>
      <w:bookmarkStart w:id="4" w:name="_Toc237356475"/>
      <w:r>
        <w:rPr>
          <w:rFonts w:ascii="Cambria" w:eastAsia="Cambria" w:hAnsi="Cambria" w:cs="Cambria"/>
          <w:b/>
          <w:bCs/>
          <w:color w:val="9C6114"/>
          <w:sz w:val="26"/>
          <w:szCs w:val="26"/>
        </w:rPr>
        <w:t>5. Conclusions</w:t>
      </w:r>
      <w:bookmarkEnd w:id="4"/>
    </w:p>
    <w:p w14:paraId="7AE149EF" w14:textId="753854B1" w:rsidR="001F6394" w:rsidRDefault="00000000">
      <w:pPr>
        <w:spacing w:after="120" w:line="264" w:lineRule="auto"/>
        <w:jc w:val="both"/>
      </w:pPr>
      <w:r>
        <w:t xml:space="preserve">Integrating Ghana's SEEA accounts with census poverty and gender data for 260 districts empirically demonstrates </w:t>
      </w:r>
      <w:proofErr w:type="spellStart"/>
      <w:r>
        <w:t>Eigenraam</w:t>
      </w:r>
      <w:proofErr w:type="spellEnd"/>
      <w:r>
        <w:t xml:space="preserve"> and Choi's (2016) proposition that accounts can be used to interrogate the poverty–environment nexus. Poverty is negatively associated with land degradation and positively associated with ecosystem service dependence</w:t>
      </w:r>
      <w:r w:rsidR="00E34098">
        <w:t>. R</w:t>
      </w:r>
      <w:r>
        <w:t>apid population growth in wealthier, urbanising districts</w:t>
      </w:r>
      <w:r w:rsidR="00E34098">
        <w:t xml:space="preserve">, </w:t>
      </w:r>
      <w:r>
        <w:t>not poverty</w:t>
      </w:r>
      <w:r w:rsidR="00E34098">
        <w:t>,</w:t>
      </w:r>
      <w:r>
        <w:t xml:space="preserve"> is the primary driver of degradation. Ghana's MPI overlaps with ecosystem service use but does not value provisioning services from natural sources, understating wellbeing in resource-rich rural communities while missing the ecosystem service deficit accumulating in urbanising districts. The findings </w:t>
      </w:r>
      <w:r w:rsidR="00E34098">
        <w:t>suggest</w:t>
      </w:r>
      <w:r>
        <w:t xml:space="preserve"> a reorientation of integrated poverty–environment policy toward peri-urban growth zones, recognition and incentives for community stewardship in rural areas, and the extension of poverty measurement to account for </w:t>
      </w:r>
      <w:r w:rsidR="00E34098">
        <w:t>ecosystem assets and services</w:t>
      </w:r>
      <w:r>
        <w:t>. This offers a route to SEEA-</w:t>
      </w:r>
      <w:r w:rsidR="00E34098">
        <w:t>based</w:t>
      </w:r>
      <w:r>
        <w:t xml:space="preserve"> monitoring of the Sustainable Development Goals that other countries with comparable data infrastructure can replicate.</w:t>
      </w:r>
    </w:p>
    <w:p w14:paraId="2FDE4073" w14:textId="77777777" w:rsidR="001F6394" w:rsidRDefault="00000000">
      <w:pPr>
        <w:pStyle w:val="Heading1"/>
        <w:spacing w:before="220" w:after="90"/>
      </w:pPr>
      <w:bookmarkStart w:id="5" w:name="_Toc237356476"/>
      <w:r>
        <w:rPr>
          <w:rFonts w:ascii="Cambria" w:eastAsia="Cambria" w:hAnsi="Cambria" w:cs="Cambria"/>
          <w:b/>
          <w:bCs/>
          <w:color w:val="9C6114"/>
          <w:sz w:val="26"/>
          <w:szCs w:val="26"/>
        </w:rPr>
        <w:t>References</w:t>
      </w:r>
      <w:bookmarkEnd w:id="5"/>
    </w:p>
    <w:p w14:paraId="7C5B4188" w14:textId="7FBF4B7B" w:rsidR="001F6394" w:rsidRDefault="00000000">
      <w:pPr>
        <w:spacing w:after="70"/>
        <w:ind w:left="360" w:hanging="360"/>
      </w:pPr>
      <w:r>
        <w:rPr>
          <w:sz w:val="18"/>
          <w:szCs w:val="18"/>
        </w:rPr>
        <w:t xml:space="preserve">Alkire, S. and Foster, J. (2011). Counting and multidimensional poverty measurement. Journal of Public Economics, 95(7), 476–487. </w:t>
      </w:r>
      <w:hyperlink r:id="rId12" w:history="1">
        <w:r w:rsidR="004E374F" w:rsidRPr="00563B81">
          <w:rPr>
            <w:rStyle w:val="Hyperlink"/>
            <w:sz w:val="18"/>
            <w:szCs w:val="18"/>
          </w:rPr>
          <w:t>https://doi.org/10.1016/j.jpubeco.2010.11.006</w:t>
        </w:r>
      </w:hyperlink>
      <w:r w:rsidR="004E374F">
        <w:rPr>
          <w:sz w:val="18"/>
          <w:szCs w:val="18"/>
        </w:rPr>
        <w:t xml:space="preserve"> </w:t>
      </w:r>
    </w:p>
    <w:p w14:paraId="53EE02BB" w14:textId="061860B7" w:rsidR="001F6394" w:rsidRDefault="00000000">
      <w:pPr>
        <w:spacing w:after="70"/>
        <w:ind w:left="360" w:hanging="360"/>
      </w:pPr>
      <w:r>
        <w:rPr>
          <w:sz w:val="18"/>
          <w:szCs w:val="18"/>
        </w:rPr>
        <w:t xml:space="preserve">Antwi-Agyei, P., Dougill, A.J. and Stringer, L.C. (2019). Assessing land use and land cover changes in the </w:t>
      </w:r>
      <w:proofErr w:type="spellStart"/>
      <w:r>
        <w:rPr>
          <w:sz w:val="18"/>
          <w:szCs w:val="18"/>
        </w:rPr>
        <w:t>Owabi</w:t>
      </w:r>
      <w:proofErr w:type="spellEnd"/>
      <w:r>
        <w:rPr>
          <w:sz w:val="18"/>
          <w:szCs w:val="18"/>
        </w:rPr>
        <w:t xml:space="preserve"> Reservoir catchment, Ghana. Geosciences, 9(7), 295. </w:t>
      </w:r>
      <w:hyperlink r:id="rId13" w:history="1">
        <w:r w:rsidR="004E374F" w:rsidRPr="00563B81">
          <w:rPr>
            <w:rStyle w:val="Hyperlink"/>
            <w:sz w:val="18"/>
            <w:szCs w:val="18"/>
          </w:rPr>
          <w:t>https://doi.org/10.3390/geosciences9070286</w:t>
        </w:r>
      </w:hyperlink>
      <w:r w:rsidR="004E374F">
        <w:rPr>
          <w:sz w:val="18"/>
          <w:szCs w:val="18"/>
        </w:rPr>
        <w:t xml:space="preserve"> </w:t>
      </w:r>
    </w:p>
    <w:p w14:paraId="6CEB913A" w14:textId="743CF78F" w:rsidR="001F6394" w:rsidRDefault="00000000">
      <w:pPr>
        <w:spacing w:after="70"/>
        <w:ind w:left="360" w:hanging="360"/>
      </w:pPr>
      <w:r>
        <w:rPr>
          <w:sz w:val="18"/>
          <w:szCs w:val="18"/>
        </w:rPr>
        <w:t xml:space="preserve">Barbier, E.B. and Hochard, J.P. (2019). Poverty-Environment Traps. Environmental and Resource Economics, 74, 1239–1271. </w:t>
      </w:r>
      <w:hyperlink r:id="rId14" w:history="1">
        <w:r w:rsidR="004E374F" w:rsidRPr="00563B81">
          <w:rPr>
            <w:rStyle w:val="Hyperlink"/>
            <w:sz w:val="18"/>
            <w:szCs w:val="18"/>
          </w:rPr>
          <w:t>https://doi.org/10.1007/s10640-019-00366-3</w:t>
        </w:r>
      </w:hyperlink>
      <w:r w:rsidR="004E374F">
        <w:rPr>
          <w:sz w:val="18"/>
          <w:szCs w:val="18"/>
        </w:rPr>
        <w:t xml:space="preserve"> </w:t>
      </w:r>
    </w:p>
    <w:p w14:paraId="242F6159" w14:textId="77777777" w:rsidR="001F6394" w:rsidRDefault="00000000">
      <w:pPr>
        <w:spacing w:after="70"/>
        <w:ind w:left="360" w:hanging="360"/>
      </w:pPr>
      <w:r>
        <w:rPr>
          <w:sz w:val="18"/>
          <w:szCs w:val="18"/>
        </w:rPr>
        <w:t xml:space="preserve">Brobbey, L.K., Hansen, C.P., </w:t>
      </w:r>
      <w:proofErr w:type="spellStart"/>
      <w:r>
        <w:rPr>
          <w:sz w:val="18"/>
          <w:szCs w:val="18"/>
        </w:rPr>
        <w:t>Kyereh</w:t>
      </w:r>
      <w:proofErr w:type="spellEnd"/>
      <w:r>
        <w:rPr>
          <w:sz w:val="18"/>
          <w:szCs w:val="18"/>
        </w:rPr>
        <w:t>, B. and Pouliot, M. (2019). The economic importance of charcoal to rural livelihoods: Evidence from a forest fringe community in Ghana. Forest Policy and Economics, 101, 19–31.</w:t>
      </w:r>
    </w:p>
    <w:p w14:paraId="48B64FCD" w14:textId="77777777" w:rsidR="001F6394" w:rsidRDefault="00000000">
      <w:pPr>
        <w:spacing w:after="70"/>
        <w:ind w:left="360" w:hanging="360"/>
      </w:pPr>
      <w:r>
        <w:rPr>
          <w:sz w:val="18"/>
          <w:szCs w:val="18"/>
        </w:rPr>
        <w:t>Cavendish, W. (2000). Empirical regularities in the poverty–environment relationship of African rural households. World Development, 28(11), 1979–2003.</w:t>
      </w:r>
    </w:p>
    <w:p w14:paraId="1520355B" w14:textId="77777777" w:rsidR="001F6394" w:rsidRDefault="00000000">
      <w:pPr>
        <w:spacing w:after="70"/>
        <w:ind w:left="360" w:hanging="360"/>
      </w:pPr>
      <w:r>
        <w:rPr>
          <w:sz w:val="18"/>
          <w:szCs w:val="18"/>
        </w:rPr>
        <w:t>Dasgupta, P. (2021). The Economics of Biodiversity: The Dasgupta Review. London: HM Treasury.</w:t>
      </w:r>
    </w:p>
    <w:p w14:paraId="0FAB9B49" w14:textId="1CFC2A3A" w:rsidR="001F6394" w:rsidRDefault="00000000">
      <w:pPr>
        <w:spacing w:after="70"/>
        <w:ind w:left="360" w:hanging="360"/>
      </w:pPr>
      <w:r>
        <w:rPr>
          <w:sz w:val="18"/>
          <w:szCs w:val="18"/>
        </w:rPr>
        <w:t xml:space="preserve">Doss, C., </w:t>
      </w:r>
      <w:proofErr w:type="spellStart"/>
      <w:r>
        <w:rPr>
          <w:sz w:val="18"/>
          <w:szCs w:val="18"/>
        </w:rPr>
        <w:t>Meinzen</w:t>
      </w:r>
      <w:proofErr w:type="spellEnd"/>
      <w:r>
        <w:rPr>
          <w:sz w:val="18"/>
          <w:szCs w:val="18"/>
        </w:rPr>
        <w:t xml:space="preserve">-Dick, R., Quisumbing, A. and Theis, S. (2018). Women in agriculture: Four myths. Global Food Security, 16, 69–74. </w:t>
      </w:r>
      <w:hyperlink r:id="rId15" w:history="1">
        <w:r w:rsidR="004E374F" w:rsidRPr="00563B81">
          <w:rPr>
            <w:rStyle w:val="Hyperlink"/>
            <w:sz w:val="18"/>
            <w:szCs w:val="18"/>
          </w:rPr>
          <w:t>https://doi.org/10.1016/j.gfs.2017.10.001</w:t>
        </w:r>
      </w:hyperlink>
      <w:r w:rsidR="004E374F">
        <w:rPr>
          <w:sz w:val="18"/>
          <w:szCs w:val="18"/>
        </w:rPr>
        <w:t xml:space="preserve"> </w:t>
      </w:r>
    </w:p>
    <w:p w14:paraId="4570EDFA" w14:textId="10502A05" w:rsidR="001F6394" w:rsidRDefault="00000000">
      <w:pPr>
        <w:spacing w:after="70"/>
        <w:ind w:left="360" w:hanging="360"/>
      </w:pPr>
      <w:proofErr w:type="spellStart"/>
      <w:r>
        <w:rPr>
          <w:sz w:val="18"/>
          <w:szCs w:val="18"/>
        </w:rPr>
        <w:t>Duraiappah</w:t>
      </w:r>
      <w:proofErr w:type="spellEnd"/>
      <w:r>
        <w:rPr>
          <w:sz w:val="18"/>
          <w:szCs w:val="18"/>
        </w:rPr>
        <w:t xml:space="preserve">, A.K. (1998). Poverty and environmental degradation: A review and analysis of the nexus. World Development, 26(12), 2169–2179. </w:t>
      </w:r>
      <w:hyperlink r:id="rId16" w:history="1">
        <w:r w:rsidR="004E374F" w:rsidRPr="00563B81">
          <w:rPr>
            <w:rStyle w:val="Hyperlink"/>
            <w:sz w:val="18"/>
            <w:szCs w:val="18"/>
          </w:rPr>
          <w:t>https://doi.org/10.1016/S0305-750X(98)00100-4</w:t>
        </w:r>
      </w:hyperlink>
      <w:r w:rsidR="004E374F">
        <w:rPr>
          <w:sz w:val="18"/>
          <w:szCs w:val="18"/>
        </w:rPr>
        <w:t xml:space="preserve"> </w:t>
      </w:r>
    </w:p>
    <w:p w14:paraId="18665AFA" w14:textId="6D1313DE" w:rsidR="001F6394" w:rsidRDefault="00000000">
      <w:pPr>
        <w:spacing w:after="70"/>
        <w:ind w:left="360" w:hanging="360"/>
      </w:pPr>
      <w:proofErr w:type="spellStart"/>
      <w:r>
        <w:rPr>
          <w:sz w:val="18"/>
          <w:szCs w:val="18"/>
        </w:rPr>
        <w:t>Eigenraam</w:t>
      </w:r>
      <w:proofErr w:type="spellEnd"/>
      <w:r>
        <w:rPr>
          <w:sz w:val="18"/>
          <w:szCs w:val="18"/>
        </w:rPr>
        <w:t xml:space="preserve">, M. and Choi, S. (2016). The application of the System of Environmental-Economic Accounting (SEEA 2012) for integrated planning, budgeting and monitoring for poverty related Sustainable Development Goals: The Poverty–Environment Accounting Framework (PEAF). UNDP–UNEP Poverty–Environment Initiative Working Paper. Nairobi: United Nations Environment Programme. </w:t>
      </w:r>
      <w:hyperlink r:id="rId17" w:history="1">
        <w:r w:rsidR="004E374F" w:rsidRPr="00563B81">
          <w:rPr>
            <w:rStyle w:val="Hyperlink"/>
            <w:sz w:val="18"/>
            <w:szCs w:val="18"/>
          </w:rPr>
          <w:t>https://ideeagroup.com/wp-content/uploads/PEI-PEAF-Report-Final-December-2016-V5.pdf</w:t>
        </w:r>
      </w:hyperlink>
      <w:r w:rsidR="004E374F">
        <w:rPr>
          <w:sz w:val="18"/>
          <w:szCs w:val="18"/>
        </w:rPr>
        <w:t xml:space="preserve"> </w:t>
      </w:r>
    </w:p>
    <w:p w14:paraId="29BCE36A" w14:textId="37B36211" w:rsidR="001F6394" w:rsidRDefault="00000000">
      <w:pPr>
        <w:spacing w:after="70"/>
        <w:ind w:left="360" w:hanging="360"/>
      </w:pPr>
      <w:r>
        <w:rPr>
          <w:sz w:val="18"/>
          <w:szCs w:val="18"/>
        </w:rPr>
        <w:t xml:space="preserve">EPA, GSS, FC, NDPC and LC (2025a). Ghana Land and Ecosystem Extent Accounts. Accra: Environmental Protection Agency. ISSN 3057-3637. </w:t>
      </w:r>
      <w:hyperlink r:id="rId18" w:history="1">
        <w:r w:rsidR="004E374F" w:rsidRPr="00563B81">
          <w:rPr>
            <w:rStyle w:val="Hyperlink"/>
            <w:sz w:val="18"/>
            <w:szCs w:val="18"/>
          </w:rPr>
          <w:t>https://www.epa.gov.gh/new/wp-content/uploads/2025/06/Ghana-Land-and-Ecosystem-Extent-Accounts-2015-2021.pdf</w:t>
        </w:r>
      </w:hyperlink>
      <w:r w:rsidR="004E374F">
        <w:rPr>
          <w:sz w:val="18"/>
          <w:szCs w:val="18"/>
        </w:rPr>
        <w:t xml:space="preserve"> </w:t>
      </w:r>
    </w:p>
    <w:p w14:paraId="4E6D34FF" w14:textId="501F6F16" w:rsidR="001F6394" w:rsidRDefault="00000000">
      <w:pPr>
        <w:spacing w:after="70"/>
        <w:ind w:left="360" w:hanging="360"/>
      </w:pPr>
      <w:r>
        <w:rPr>
          <w:sz w:val="18"/>
          <w:szCs w:val="18"/>
        </w:rPr>
        <w:t xml:space="preserve">EPA, GSS and FC (2025b). Ghana Ecosystem Service Accounts. Accra: Environmental Protection Agency. ISSN 3057-3971. </w:t>
      </w:r>
      <w:hyperlink r:id="rId19" w:history="1">
        <w:r w:rsidR="004E374F" w:rsidRPr="00563B81">
          <w:rPr>
            <w:rStyle w:val="Hyperlink"/>
            <w:sz w:val="18"/>
            <w:szCs w:val="18"/>
          </w:rPr>
          <w:t>https://www.epa.gov.gh/new/wp-content/uploads/2025/06/Ghana-Ecosystem-Services-Account-2015-2021.pdf</w:t>
        </w:r>
      </w:hyperlink>
      <w:r w:rsidR="004E374F">
        <w:rPr>
          <w:sz w:val="18"/>
          <w:szCs w:val="18"/>
        </w:rPr>
        <w:t xml:space="preserve"> </w:t>
      </w:r>
    </w:p>
    <w:p w14:paraId="4E96EC28" w14:textId="77777777" w:rsidR="001F6394" w:rsidRDefault="00000000">
      <w:pPr>
        <w:spacing w:after="70"/>
        <w:ind w:left="360" w:hanging="360"/>
      </w:pPr>
      <w:r>
        <w:rPr>
          <w:sz w:val="18"/>
          <w:szCs w:val="18"/>
        </w:rPr>
        <w:t>GSS (2020). Ghana 2017 Multidimensional Poverty Index. Accra: Ghana Statistical Service.</w:t>
      </w:r>
    </w:p>
    <w:p w14:paraId="0EEEAC5A" w14:textId="77777777" w:rsidR="001F6394" w:rsidRDefault="00000000">
      <w:pPr>
        <w:spacing w:after="70"/>
        <w:ind w:left="360" w:hanging="360"/>
      </w:pPr>
      <w:r>
        <w:rPr>
          <w:sz w:val="18"/>
          <w:szCs w:val="18"/>
        </w:rPr>
        <w:t>GSS (2023). Ghana 2021 Population and Housing Census. Accra: Ghana Statistical Service.</w:t>
      </w:r>
    </w:p>
    <w:p w14:paraId="7556A8CC" w14:textId="1DFC8293" w:rsidR="001F6394" w:rsidRDefault="00000000">
      <w:pPr>
        <w:spacing w:after="70"/>
        <w:ind w:left="360" w:hanging="360"/>
      </w:pPr>
      <w:r>
        <w:rPr>
          <w:sz w:val="18"/>
          <w:szCs w:val="18"/>
        </w:rPr>
        <w:t xml:space="preserve">IMF (2024). Ghana: Poverty Reduction and Growth Strategy. IMF Country Report No. 24/214. Washington, DC: International Monetary Fund. </w:t>
      </w:r>
      <w:hyperlink r:id="rId20" w:history="1">
        <w:r w:rsidR="004E374F" w:rsidRPr="00563B81">
          <w:rPr>
            <w:rStyle w:val="Hyperlink"/>
            <w:sz w:val="18"/>
            <w:szCs w:val="18"/>
          </w:rPr>
          <w:t>https://doi.org/10.5089/9798400282850.002</w:t>
        </w:r>
      </w:hyperlink>
      <w:r w:rsidR="004E374F">
        <w:rPr>
          <w:sz w:val="18"/>
          <w:szCs w:val="18"/>
        </w:rPr>
        <w:t xml:space="preserve"> </w:t>
      </w:r>
    </w:p>
    <w:p w14:paraId="18968B7B" w14:textId="77777777" w:rsidR="001F6394" w:rsidRDefault="00000000">
      <w:pPr>
        <w:spacing w:after="70"/>
        <w:ind w:left="360" w:hanging="360"/>
      </w:pPr>
      <w:r>
        <w:rPr>
          <w:sz w:val="18"/>
          <w:szCs w:val="18"/>
        </w:rPr>
        <w:t>MA (Millennium Ecosystem Assessment) (2005). Ecosystems and Human Well-Being: Synthesis. Washington, DC: Island Press.</w:t>
      </w:r>
    </w:p>
    <w:p w14:paraId="62719A6A" w14:textId="7BDB6976" w:rsidR="001F6394" w:rsidRDefault="00000000">
      <w:pPr>
        <w:spacing w:after="70"/>
        <w:ind w:left="360" w:hanging="360"/>
      </w:pPr>
      <w:r>
        <w:rPr>
          <w:sz w:val="18"/>
          <w:szCs w:val="18"/>
        </w:rPr>
        <w:lastRenderedPageBreak/>
        <w:t xml:space="preserve">Mather, A.S. (1992). The forest transition. Area, 24(4), 367–379. </w:t>
      </w:r>
      <w:hyperlink r:id="rId21" w:history="1">
        <w:r w:rsidR="004E374F" w:rsidRPr="00563B81">
          <w:rPr>
            <w:rStyle w:val="Hyperlink"/>
            <w:sz w:val="18"/>
            <w:szCs w:val="18"/>
          </w:rPr>
          <w:t>http://www.jstor.org/stable/20003181</w:t>
        </w:r>
      </w:hyperlink>
      <w:r w:rsidR="004E374F">
        <w:rPr>
          <w:sz w:val="18"/>
          <w:szCs w:val="18"/>
        </w:rPr>
        <w:t xml:space="preserve"> </w:t>
      </w:r>
    </w:p>
    <w:p w14:paraId="3B3DBF35" w14:textId="66D4157A" w:rsidR="001F6394" w:rsidRDefault="00000000">
      <w:pPr>
        <w:spacing w:after="70"/>
        <w:ind w:left="360" w:hanging="360"/>
      </w:pPr>
      <w:proofErr w:type="spellStart"/>
      <w:r>
        <w:rPr>
          <w:sz w:val="18"/>
          <w:szCs w:val="18"/>
        </w:rPr>
        <w:t>Nachibi</w:t>
      </w:r>
      <w:proofErr w:type="spellEnd"/>
      <w:r>
        <w:rPr>
          <w:sz w:val="18"/>
          <w:szCs w:val="18"/>
        </w:rPr>
        <w:t xml:space="preserve">, S.U. and Morgan, A.K. (2023). Understanding the relationship between poverty, environmental degradation, and power dynamics: A qualitative study in Northern Ghana. Environment, Development and Sustainability, 27, 3283–3311. </w:t>
      </w:r>
      <w:hyperlink r:id="rId22" w:history="1">
        <w:r w:rsidR="004E374F" w:rsidRPr="00563B81">
          <w:rPr>
            <w:rStyle w:val="Hyperlink"/>
            <w:sz w:val="18"/>
            <w:szCs w:val="18"/>
          </w:rPr>
          <w:t>https://doi.org/10.1007/s10668-023-04014-1</w:t>
        </w:r>
      </w:hyperlink>
      <w:r w:rsidR="004E374F">
        <w:rPr>
          <w:sz w:val="18"/>
          <w:szCs w:val="18"/>
        </w:rPr>
        <w:t xml:space="preserve"> </w:t>
      </w:r>
    </w:p>
    <w:p w14:paraId="4ADD20E8" w14:textId="77777777" w:rsidR="001F6394" w:rsidRDefault="00000000">
      <w:pPr>
        <w:spacing w:after="70"/>
        <w:ind w:left="360" w:hanging="360"/>
      </w:pPr>
      <w:r>
        <w:rPr>
          <w:sz w:val="18"/>
          <w:szCs w:val="18"/>
        </w:rPr>
        <w:t>Rocheleau, D., Thomas-Slayter, B. and Wangari, E. (eds.) (1996). Feminist Political Ecology: Global Issues and Local Experiences. London: Routledge.</w:t>
      </w:r>
    </w:p>
    <w:p w14:paraId="20443727" w14:textId="77777777" w:rsidR="001F6394" w:rsidRDefault="00000000">
      <w:pPr>
        <w:spacing w:after="70"/>
        <w:ind w:left="360" w:hanging="360"/>
      </w:pPr>
      <w:r>
        <w:rPr>
          <w:sz w:val="18"/>
          <w:szCs w:val="18"/>
        </w:rPr>
        <w:t>UN, European Commission, FAO, IMF, OECD and World Bank (2014). System of Environmental-Economic Accounting 2012 — Central Framework. New York: United Nations.</w:t>
      </w:r>
    </w:p>
    <w:p w14:paraId="7404A8F5" w14:textId="77777777" w:rsidR="001F6394" w:rsidRDefault="00000000">
      <w:pPr>
        <w:spacing w:after="70"/>
        <w:ind w:left="360" w:hanging="360"/>
      </w:pPr>
      <w:r>
        <w:rPr>
          <w:sz w:val="18"/>
          <w:szCs w:val="18"/>
        </w:rPr>
        <w:t>UN, European Commission, FAO, IMF, OECD and World Bank (2021). System of Environmental-Economic Accounting — Ecosystem Accounting. New York: United Nations.</w:t>
      </w:r>
    </w:p>
    <w:p w14:paraId="71D2BE61" w14:textId="77777777" w:rsidR="001F6394" w:rsidRDefault="00000000">
      <w:pPr>
        <w:spacing w:after="70"/>
        <w:ind w:left="360" w:hanging="360"/>
      </w:pPr>
      <w:r>
        <w:rPr>
          <w:sz w:val="18"/>
          <w:szCs w:val="18"/>
        </w:rPr>
        <w:t>UNCEEA (2023). Global Assessment of Environmental-Economic Accounting and Supporting Statistics. New York: United Nations.</w:t>
      </w:r>
    </w:p>
    <w:p w14:paraId="3CDE8759" w14:textId="5D0E81BE" w:rsidR="001F6394" w:rsidRDefault="00000000">
      <w:pPr>
        <w:spacing w:after="70"/>
        <w:ind w:left="360" w:hanging="360"/>
      </w:pPr>
      <w:r>
        <w:rPr>
          <w:sz w:val="18"/>
          <w:szCs w:val="18"/>
        </w:rPr>
        <w:t xml:space="preserve">Van Vliet, J. (2019). Direct and indirect loss of natural area from urban expansion. Nature Sustainability, 2(8), 755–763. </w:t>
      </w:r>
      <w:hyperlink r:id="rId23" w:history="1">
        <w:r w:rsidR="004E374F" w:rsidRPr="00563B81">
          <w:rPr>
            <w:rStyle w:val="Hyperlink"/>
            <w:sz w:val="18"/>
            <w:szCs w:val="18"/>
          </w:rPr>
          <w:t>https://doi.org/10.1038/s41893-019-0340-0</w:t>
        </w:r>
      </w:hyperlink>
      <w:r w:rsidR="004E374F">
        <w:rPr>
          <w:sz w:val="18"/>
          <w:szCs w:val="18"/>
        </w:rPr>
        <w:t xml:space="preserve"> </w:t>
      </w:r>
    </w:p>
    <w:p w14:paraId="3FFB41C4" w14:textId="657128D9" w:rsidR="001F6394" w:rsidRDefault="00000000">
      <w:pPr>
        <w:spacing w:after="70"/>
        <w:ind w:left="360" w:hanging="360"/>
      </w:pPr>
      <w:r>
        <w:rPr>
          <w:sz w:val="18"/>
          <w:szCs w:val="18"/>
        </w:rPr>
        <w:t xml:space="preserve">Vardon, M., Burnett, P. and Dovers, S. (2016). The accounting push and the policy pull: balancing environment and economic decisions. Ecological Economics, 124, 145–152. </w:t>
      </w:r>
      <w:hyperlink r:id="rId24" w:history="1">
        <w:r w:rsidR="004E374F" w:rsidRPr="00563B81">
          <w:rPr>
            <w:rStyle w:val="Hyperlink"/>
            <w:sz w:val="18"/>
            <w:szCs w:val="18"/>
          </w:rPr>
          <w:t>https://doi.org/10.1016/j.ecolecon.2016.01.021</w:t>
        </w:r>
      </w:hyperlink>
      <w:r w:rsidR="004E374F">
        <w:rPr>
          <w:sz w:val="18"/>
          <w:szCs w:val="18"/>
        </w:rPr>
        <w:t xml:space="preserve"> </w:t>
      </w:r>
    </w:p>
    <w:p w14:paraId="2516CD47" w14:textId="77777777" w:rsidR="001F6394" w:rsidRDefault="00000000">
      <w:pPr>
        <w:spacing w:after="70"/>
        <w:ind w:left="360" w:hanging="360"/>
      </w:pPr>
      <w:r>
        <w:rPr>
          <w:sz w:val="18"/>
          <w:szCs w:val="18"/>
        </w:rPr>
        <w:t>WCED (World Commission on Environment and Development) (1987). Our Common Future (The Brundtland Report). Oxford: Oxford University Press.</w:t>
      </w:r>
    </w:p>
    <w:p w14:paraId="76CDE4CC" w14:textId="77777777" w:rsidR="001F6394" w:rsidRDefault="00000000">
      <w:pPr>
        <w:spacing w:after="70"/>
        <w:ind w:left="360" w:hanging="360"/>
      </w:pPr>
      <w:r>
        <w:rPr>
          <w:sz w:val="18"/>
          <w:szCs w:val="18"/>
        </w:rPr>
        <w:t>World Bank (2020). Ghana: Country Environmental Analysis. Washington, DC: World Bank.</w:t>
      </w:r>
    </w:p>
    <w:sectPr w:rsidR="001F6394">
      <w:footerReference w:type="even" r:id="rId25"/>
      <w:footerReference w:type="default" r:id="rId26"/>
      <w:pgSz w:w="11906" w:h="16838"/>
      <w:pgMar w:top="1134" w:right="1134" w:bottom="1134" w:left="1134"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17ABA35" w14:textId="77777777" w:rsidR="00717E48" w:rsidRDefault="00717E48" w:rsidP="009D7923">
      <w:r>
        <w:separator/>
      </w:r>
    </w:p>
  </w:endnote>
  <w:endnote w:type="continuationSeparator" w:id="0">
    <w:p w14:paraId="1E40E381" w14:textId="77777777" w:rsidR="00717E48" w:rsidRDefault="00717E48" w:rsidP="009D7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ptos">
    <w:panose1 w:val="020B0604020202020204"/>
    <w:charset w:val="00"/>
    <w:family w:val="swiss"/>
    <w:pitch w:val="variable"/>
    <w:sig w:usb0="20000287" w:usb1="00000003" w:usb2="00000000" w:usb3="00000000" w:csb0="0000019F" w:csb1="00000000"/>
  </w:font>
  <w:font w:name="Cambria">
    <w:panose1 w:val="02040503050406030204"/>
    <w:charset w:val="00"/>
    <w:family w:val="roman"/>
    <w:pitch w:val="variable"/>
    <w:sig w:usb0="E00002FF" w:usb1="400004FF" w:usb2="00000000" w:usb3="00000000" w:csb0="0000019F" w:csb1="00000000"/>
  </w:font>
  <w:font w:name="Aptos Display">
    <w:panose1 w:val="020B06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474721907"/>
      <w:docPartObj>
        <w:docPartGallery w:val="Page Numbers (Bottom of Page)"/>
        <w:docPartUnique/>
      </w:docPartObj>
    </w:sdtPr>
    <w:sdtContent>
      <w:p w14:paraId="7538E5D9" w14:textId="1E66533C" w:rsidR="009D7923" w:rsidRDefault="009D7923" w:rsidP="00563B8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6871EA5D" w14:textId="77777777" w:rsidR="009D7923" w:rsidRDefault="009D7923" w:rsidP="009D792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914847078"/>
      <w:docPartObj>
        <w:docPartGallery w:val="Page Numbers (Bottom of Page)"/>
        <w:docPartUnique/>
      </w:docPartObj>
    </w:sdtPr>
    <w:sdtContent>
      <w:p w14:paraId="59C3DA81" w14:textId="241DB3A5" w:rsidR="009D7923" w:rsidRDefault="009D7923" w:rsidP="00563B8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EB2BB2F" w14:textId="77777777" w:rsidR="009D7923" w:rsidRDefault="009D7923" w:rsidP="009D792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305FFBA" w14:textId="77777777" w:rsidR="00717E48" w:rsidRDefault="00717E48" w:rsidP="009D7923">
      <w:r>
        <w:separator/>
      </w:r>
    </w:p>
  </w:footnote>
  <w:footnote w:type="continuationSeparator" w:id="0">
    <w:p w14:paraId="6494DFF3" w14:textId="77777777" w:rsidR="00717E48" w:rsidRDefault="00717E48" w:rsidP="009D79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pt;height:.6pt;visibility:visible;mso-wrap-style:square" o:bullet="t">
        <v:imagedata r:id="rId1" o:title=""/>
      </v:shape>
    </w:pict>
  </w:numPicBullet>
  <w:abstractNum w:abstractNumId="0" w15:restartNumberingAfterBreak="0">
    <w:nsid w:val="64F00B0A"/>
    <w:multiLevelType w:val="hybridMultilevel"/>
    <w:tmpl w:val="657A8FFA"/>
    <w:lvl w:ilvl="0" w:tplc="0BD8CBDE">
      <w:start w:val="1"/>
      <w:numFmt w:val="bullet"/>
      <w:lvlText w:val="●"/>
      <w:lvlJc w:val="left"/>
      <w:pPr>
        <w:ind w:left="720" w:hanging="360"/>
      </w:pPr>
    </w:lvl>
    <w:lvl w:ilvl="1" w:tplc="BBF06BD6">
      <w:start w:val="1"/>
      <w:numFmt w:val="bullet"/>
      <w:lvlText w:val="○"/>
      <w:lvlJc w:val="left"/>
      <w:pPr>
        <w:ind w:left="1440" w:hanging="360"/>
      </w:pPr>
    </w:lvl>
    <w:lvl w:ilvl="2" w:tplc="67162370">
      <w:start w:val="1"/>
      <w:numFmt w:val="bullet"/>
      <w:lvlText w:val="■"/>
      <w:lvlJc w:val="left"/>
      <w:pPr>
        <w:ind w:left="2160" w:hanging="360"/>
      </w:pPr>
    </w:lvl>
    <w:lvl w:ilvl="3" w:tplc="CB54FD24">
      <w:start w:val="1"/>
      <w:numFmt w:val="bullet"/>
      <w:lvlText w:val="●"/>
      <w:lvlJc w:val="left"/>
      <w:pPr>
        <w:ind w:left="2880" w:hanging="360"/>
      </w:pPr>
    </w:lvl>
    <w:lvl w:ilvl="4" w:tplc="D01EBF18">
      <w:start w:val="1"/>
      <w:numFmt w:val="bullet"/>
      <w:lvlText w:val="○"/>
      <w:lvlJc w:val="left"/>
      <w:pPr>
        <w:ind w:left="3600" w:hanging="360"/>
      </w:pPr>
    </w:lvl>
    <w:lvl w:ilvl="5" w:tplc="A072B9B8">
      <w:start w:val="1"/>
      <w:numFmt w:val="bullet"/>
      <w:lvlText w:val="■"/>
      <w:lvlJc w:val="left"/>
      <w:pPr>
        <w:ind w:left="4320" w:hanging="360"/>
      </w:pPr>
    </w:lvl>
    <w:lvl w:ilvl="6" w:tplc="5502AC06">
      <w:start w:val="1"/>
      <w:numFmt w:val="bullet"/>
      <w:lvlText w:val="●"/>
      <w:lvlJc w:val="left"/>
      <w:pPr>
        <w:ind w:left="5040" w:hanging="360"/>
      </w:pPr>
    </w:lvl>
    <w:lvl w:ilvl="7" w:tplc="14B6CB08">
      <w:start w:val="1"/>
      <w:numFmt w:val="bullet"/>
      <w:lvlText w:val="●"/>
      <w:lvlJc w:val="left"/>
      <w:pPr>
        <w:ind w:left="5760" w:hanging="360"/>
      </w:pPr>
    </w:lvl>
    <w:lvl w:ilvl="8" w:tplc="8D0EB350">
      <w:start w:val="1"/>
      <w:numFmt w:val="bullet"/>
      <w:lvlText w:val="●"/>
      <w:lvlJc w:val="left"/>
      <w:pPr>
        <w:ind w:left="6480" w:hanging="360"/>
      </w:pPr>
    </w:lvl>
  </w:abstractNum>
  <w:abstractNum w:abstractNumId="1" w15:restartNumberingAfterBreak="0">
    <w:nsid w:val="7BB654E0"/>
    <w:multiLevelType w:val="hybridMultilevel"/>
    <w:tmpl w:val="B2948C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7F471B4A"/>
    <w:multiLevelType w:val="hybridMultilevel"/>
    <w:tmpl w:val="3D205DF2"/>
    <w:lvl w:ilvl="0" w:tplc="7F52033E">
      <w:start w:val="1"/>
      <w:numFmt w:val="bullet"/>
      <w:lvlText w:val=""/>
      <w:lvlPicBulletId w:val="0"/>
      <w:lvlJc w:val="left"/>
      <w:pPr>
        <w:tabs>
          <w:tab w:val="num" w:pos="720"/>
        </w:tabs>
        <w:ind w:left="720" w:hanging="360"/>
      </w:pPr>
      <w:rPr>
        <w:rFonts w:ascii="Symbol" w:hAnsi="Symbol" w:hint="default"/>
      </w:rPr>
    </w:lvl>
    <w:lvl w:ilvl="1" w:tplc="A9D83CE8" w:tentative="1">
      <w:start w:val="1"/>
      <w:numFmt w:val="bullet"/>
      <w:lvlText w:val=""/>
      <w:lvlJc w:val="left"/>
      <w:pPr>
        <w:tabs>
          <w:tab w:val="num" w:pos="1440"/>
        </w:tabs>
        <w:ind w:left="1440" w:hanging="360"/>
      </w:pPr>
      <w:rPr>
        <w:rFonts w:ascii="Symbol" w:hAnsi="Symbol" w:hint="default"/>
      </w:rPr>
    </w:lvl>
    <w:lvl w:ilvl="2" w:tplc="F2A421A4" w:tentative="1">
      <w:start w:val="1"/>
      <w:numFmt w:val="bullet"/>
      <w:lvlText w:val=""/>
      <w:lvlJc w:val="left"/>
      <w:pPr>
        <w:tabs>
          <w:tab w:val="num" w:pos="2160"/>
        </w:tabs>
        <w:ind w:left="2160" w:hanging="360"/>
      </w:pPr>
      <w:rPr>
        <w:rFonts w:ascii="Symbol" w:hAnsi="Symbol" w:hint="default"/>
      </w:rPr>
    </w:lvl>
    <w:lvl w:ilvl="3" w:tplc="ED1616FE" w:tentative="1">
      <w:start w:val="1"/>
      <w:numFmt w:val="bullet"/>
      <w:lvlText w:val=""/>
      <w:lvlJc w:val="left"/>
      <w:pPr>
        <w:tabs>
          <w:tab w:val="num" w:pos="2880"/>
        </w:tabs>
        <w:ind w:left="2880" w:hanging="360"/>
      </w:pPr>
      <w:rPr>
        <w:rFonts w:ascii="Symbol" w:hAnsi="Symbol" w:hint="default"/>
      </w:rPr>
    </w:lvl>
    <w:lvl w:ilvl="4" w:tplc="711262C6" w:tentative="1">
      <w:start w:val="1"/>
      <w:numFmt w:val="bullet"/>
      <w:lvlText w:val=""/>
      <w:lvlJc w:val="left"/>
      <w:pPr>
        <w:tabs>
          <w:tab w:val="num" w:pos="3600"/>
        </w:tabs>
        <w:ind w:left="3600" w:hanging="360"/>
      </w:pPr>
      <w:rPr>
        <w:rFonts w:ascii="Symbol" w:hAnsi="Symbol" w:hint="default"/>
      </w:rPr>
    </w:lvl>
    <w:lvl w:ilvl="5" w:tplc="DB0CEB5A" w:tentative="1">
      <w:start w:val="1"/>
      <w:numFmt w:val="bullet"/>
      <w:lvlText w:val=""/>
      <w:lvlJc w:val="left"/>
      <w:pPr>
        <w:tabs>
          <w:tab w:val="num" w:pos="4320"/>
        </w:tabs>
        <w:ind w:left="4320" w:hanging="360"/>
      </w:pPr>
      <w:rPr>
        <w:rFonts w:ascii="Symbol" w:hAnsi="Symbol" w:hint="default"/>
      </w:rPr>
    </w:lvl>
    <w:lvl w:ilvl="6" w:tplc="746CD386" w:tentative="1">
      <w:start w:val="1"/>
      <w:numFmt w:val="bullet"/>
      <w:lvlText w:val=""/>
      <w:lvlJc w:val="left"/>
      <w:pPr>
        <w:tabs>
          <w:tab w:val="num" w:pos="5040"/>
        </w:tabs>
        <w:ind w:left="5040" w:hanging="360"/>
      </w:pPr>
      <w:rPr>
        <w:rFonts w:ascii="Symbol" w:hAnsi="Symbol" w:hint="default"/>
      </w:rPr>
    </w:lvl>
    <w:lvl w:ilvl="7" w:tplc="3CEA2F96" w:tentative="1">
      <w:start w:val="1"/>
      <w:numFmt w:val="bullet"/>
      <w:lvlText w:val=""/>
      <w:lvlJc w:val="left"/>
      <w:pPr>
        <w:tabs>
          <w:tab w:val="num" w:pos="5760"/>
        </w:tabs>
        <w:ind w:left="5760" w:hanging="360"/>
      </w:pPr>
      <w:rPr>
        <w:rFonts w:ascii="Symbol" w:hAnsi="Symbol" w:hint="default"/>
      </w:rPr>
    </w:lvl>
    <w:lvl w:ilvl="8" w:tplc="D2F471BC" w:tentative="1">
      <w:start w:val="1"/>
      <w:numFmt w:val="bullet"/>
      <w:lvlText w:val=""/>
      <w:lvlJc w:val="left"/>
      <w:pPr>
        <w:tabs>
          <w:tab w:val="num" w:pos="6480"/>
        </w:tabs>
        <w:ind w:left="6480" w:hanging="360"/>
      </w:pPr>
      <w:rPr>
        <w:rFonts w:ascii="Symbol" w:hAnsi="Symbol" w:hint="default"/>
      </w:rPr>
    </w:lvl>
  </w:abstractNum>
  <w:num w:numId="1" w16cid:durableId="674310800">
    <w:abstractNumId w:val="0"/>
    <w:lvlOverride w:ilvl="0">
      <w:startOverride w:val="1"/>
    </w:lvlOverride>
  </w:num>
  <w:num w:numId="2" w16cid:durableId="378482983">
    <w:abstractNumId w:val="1"/>
  </w:num>
  <w:num w:numId="3" w16cid:durableId="1577402475">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6394"/>
    <w:rsid w:val="001000CE"/>
    <w:rsid w:val="001F6394"/>
    <w:rsid w:val="00387825"/>
    <w:rsid w:val="004E374F"/>
    <w:rsid w:val="00717E48"/>
    <w:rsid w:val="0079227E"/>
    <w:rsid w:val="00862865"/>
    <w:rsid w:val="008A1F4E"/>
    <w:rsid w:val="009138EE"/>
    <w:rsid w:val="009D7923"/>
    <w:rsid w:val="00B8564B"/>
    <w:rsid w:val="00DE0B96"/>
    <w:rsid w:val="00E34098"/>
    <w:rsid w:val="00FC208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9D23"/>
  <w15:docId w15:val="{FCB2D5DE-1F53-2245-9E9E-A84030AC9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1"/>
        <w:szCs w:val="21"/>
        <w:lang w:val="en-AU"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outlineLvl w:val="0"/>
    </w:pPr>
    <w:rPr>
      <w:color w:val="2E74B5"/>
      <w:sz w:val="32"/>
      <w:szCs w:val="32"/>
    </w:rPr>
  </w:style>
  <w:style w:type="paragraph" w:styleId="Heading2">
    <w:name w:val="heading 2"/>
    <w:uiPriority w:val="9"/>
    <w:semiHidden/>
    <w:unhideWhenUsed/>
    <w:qFormat/>
    <w:pPr>
      <w:outlineLvl w:val="1"/>
    </w:pPr>
    <w:rPr>
      <w:color w:val="2E74B5"/>
      <w:sz w:val="26"/>
      <w:szCs w:val="26"/>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paragraph" w:styleId="Subtitle">
    <w:name w:val="Subtitle"/>
    <w:basedOn w:val="Normal"/>
    <w:next w:val="Normal"/>
    <w:link w:val="SubtitleChar"/>
    <w:uiPriority w:val="11"/>
    <w:qFormat/>
    <w:rsid w:val="008A1F4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A1F4E"/>
    <w:rPr>
      <w:rFonts w:asciiTheme="minorHAnsi" w:eastAsiaTheme="minorEastAsia" w:hAnsiTheme="minorHAnsi" w:cstheme="minorBidi"/>
      <w:color w:val="5A5A5A" w:themeColor="text1" w:themeTint="A5"/>
      <w:spacing w:val="15"/>
      <w:sz w:val="22"/>
      <w:szCs w:val="22"/>
    </w:rPr>
  </w:style>
  <w:style w:type="paragraph" w:styleId="TOC1">
    <w:name w:val="toc 1"/>
    <w:basedOn w:val="Normal"/>
    <w:next w:val="Normal"/>
    <w:autoRedefine/>
    <w:uiPriority w:val="39"/>
    <w:unhideWhenUsed/>
    <w:rsid w:val="00FC2080"/>
    <w:pPr>
      <w:spacing w:after="100"/>
    </w:pPr>
  </w:style>
  <w:style w:type="character" w:styleId="UnresolvedMention">
    <w:name w:val="Unresolved Mention"/>
    <w:basedOn w:val="DefaultParagraphFont"/>
    <w:uiPriority w:val="99"/>
    <w:semiHidden/>
    <w:unhideWhenUsed/>
    <w:rsid w:val="004E374F"/>
    <w:rPr>
      <w:color w:val="605E5C"/>
      <w:shd w:val="clear" w:color="auto" w:fill="E1DFDD"/>
    </w:rPr>
  </w:style>
  <w:style w:type="paragraph" w:styleId="Footer">
    <w:name w:val="footer"/>
    <w:basedOn w:val="Normal"/>
    <w:link w:val="FooterChar"/>
    <w:uiPriority w:val="99"/>
    <w:unhideWhenUsed/>
    <w:rsid w:val="009D7923"/>
    <w:pPr>
      <w:tabs>
        <w:tab w:val="center" w:pos="4680"/>
        <w:tab w:val="right" w:pos="9360"/>
      </w:tabs>
    </w:pPr>
  </w:style>
  <w:style w:type="character" w:customStyle="1" w:styleId="FooterChar">
    <w:name w:val="Footer Char"/>
    <w:basedOn w:val="DefaultParagraphFont"/>
    <w:link w:val="Footer"/>
    <w:uiPriority w:val="99"/>
    <w:rsid w:val="009D7923"/>
  </w:style>
  <w:style w:type="character" w:styleId="PageNumber">
    <w:name w:val="page number"/>
    <w:basedOn w:val="DefaultParagraphFont"/>
    <w:uiPriority w:val="99"/>
    <w:semiHidden/>
    <w:unhideWhenUsed/>
    <w:rsid w:val="009D79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doi.org/10.3390/geosciences9070286" TargetMode="External"/><Relationship Id="rId18" Type="http://schemas.openxmlformats.org/officeDocument/2006/relationships/hyperlink" Target="https://www.epa.gov.gh/new/wp-content/uploads/2025/06/Ghana-Land-and-Ecosystem-Extent-Accounts-2015-2021.pdf" TargetMode="External"/><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hyperlink" Target="http://www.jstor.org/stable/20003181" TargetMode="External"/><Relationship Id="rId7" Type="http://schemas.openxmlformats.org/officeDocument/2006/relationships/hyperlink" Target="mailto:michael.vardon@anu.edu.au" TargetMode="External"/><Relationship Id="rId12" Type="http://schemas.openxmlformats.org/officeDocument/2006/relationships/hyperlink" Target="https://doi.org/10.1016/j.jpubeco.2010.11.006" TargetMode="External"/><Relationship Id="rId17" Type="http://schemas.openxmlformats.org/officeDocument/2006/relationships/hyperlink" Target="https://ideeagroup.com/wp-content/uploads/PEI-PEAF-Report-Final-December-2016-V5.pdf"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doi.org/10.1016/S0305-750X(98)00100-4" TargetMode="External"/><Relationship Id="rId20" Type="http://schemas.openxmlformats.org/officeDocument/2006/relationships/hyperlink" Target="https://doi.org/10.5089/9798400282850.00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doi.org/10.1016/j.ecolecon.2016.01.021" TargetMode="External"/><Relationship Id="rId5" Type="http://schemas.openxmlformats.org/officeDocument/2006/relationships/footnotes" Target="footnotes.xml"/><Relationship Id="rId15" Type="http://schemas.openxmlformats.org/officeDocument/2006/relationships/hyperlink" Target="https://doi.org/10.1016/j.gfs.2017.10.001" TargetMode="External"/><Relationship Id="rId23" Type="http://schemas.openxmlformats.org/officeDocument/2006/relationships/hyperlink" Target="https://doi.org/10.1038/s41893-019-0340-0" TargetMode="Externa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www.epa.gov.gh/new/wp-content/uploads/2025/06/Ghana-Ecosystem-Services-Account-2015-2021.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doi.org/10.1007/s10640-019-00366-3" TargetMode="External"/><Relationship Id="rId22" Type="http://schemas.openxmlformats.org/officeDocument/2006/relationships/hyperlink" Target="https://doi.org/10.1007/s10668-023-04014-1" TargetMode="Externa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18</TotalTime>
  <Pages>6</Pages>
  <Words>2769</Words>
  <Characters>15788</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Rethinking the Poverty–Environment Nexus through NCA: Evidence from Ghana</vt:lpstr>
    </vt:vector>
  </TitlesOfParts>
  <Company/>
  <LinksUpToDate>false</LinksUpToDate>
  <CharactersWithSpaces>18520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Rethinking the Poverty–Environment Nexus through NCA: Evidence from Ghana</dc:title>
  <dc:creator>Michael Vardon</dc:creator>
  <cp:lastModifiedBy>Michael Vardon</cp:lastModifiedBy>
  <cp:revision>4</cp:revision>
  <dcterms:created xsi:type="dcterms:W3CDTF">2026-08-11T05:56:00Z</dcterms:created>
  <dcterms:modified xsi:type="dcterms:W3CDTF">2026-08-11T06:18:00Z</dcterms:modified>
</cp:coreProperties>
</file>